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3604" w14:textId="77777777" w:rsidR="001B5514" w:rsidRPr="00F94F0A" w:rsidRDefault="001B5514" w:rsidP="001F329E">
      <w:pPr>
        <w:spacing w:after="0" w:line="240" w:lineRule="auto"/>
        <w:rPr>
          <w:rFonts w:ascii="Arial" w:hAnsi="Arial" w:cs="Arial"/>
          <w:sz w:val="21"/>
          <w:szCs w:val="21"/>
        </w:rPr>
      </w:pPr>
    </w:p>
    <w:p w14:paraId="3A8C05BE" w14:textId="70AC2292" w:rsidR="001B5514" w:rsidRDefault="003E0117" w:rsidP="001F329E">
      <w:pPr>
        <w:spacing w:after="0" w:line="240" w:lineRule="auto"/>
        <w:jc w:val="center"/>
        <w:rPr>
          <w:rFonts w:ascii="Arial" w:hAnsi="Arial" w:cs="Arial"/>
          <w:i/>
          <w:sz w:val="21"/>
          <w:szCs w:val="21"/>
        </w:rPr>
      </w:pPr>
      <w:r>
        <w:rPr>
          <w:rFonts w:ascii="Arial" w:hAnsi="Arial" w:cs="Arial"/>
          <w:i/>
          <w:sz w:val="21"/>
          <w:szCs w:val="21"/>
        </w:rPr>
        <w:t>This position paper builds on results from the</w:t>
      </w:r>
      <w:r w:rsidR="001B5514" w:rsidRPr="00F94F0A">
        <w:rPr>
          <w:rFonts w:ascii="Arial" w:hAnsi="Arial" w:cs="Arial"/>
          <w:i/>
          <w:sz w:val="21"/>
          <w:szCs w:val="21"/>
        </w:rPr>
        <w:t xml:space="preserve"> 2021 GARI research projec</w:t>
      </w:r>
      <w:r w:rsidR="003279C7">
        <w:rPr>
          <w:rFonts w:ascii="Arial" w:hAnsi="Arial" w:cs="Arial"/>
          <w:i/>
          <w:sz w:val="21"/>
          <w:szCs w:val="21"/>
        </w:rPr>
        <w:t xml:space="preserve">t and discussions of these findings by an expert panel at the ICCHP AAATE 2022 conference in Lecco and in an educational session at the ATIA 2023 conference in Orlando. </w:t>
      </w:r>
    </w:p>
    <w:p w14:paraId="16B72F8E" w14:textId="77777777" w:rsidR="003279C7" w:rsidRPr="00F94F0A" w:rsidRDefault="003279C7" w:rsidP="001F329E">
      <w:pPr>
        <w:spacing w:after="0" w:line="240" w:lineRule="auto"/>
        <w:jc w:val="center"/>
        <w:rPr>
          <w:rFonts w:ascii="Arial" w:hAnsi="Arial" w:cs="Arial"/>
          <w:i/>
          <w:sz w:val="21"/>
          <w:szCs w:val="21"/>
        </w:rPr>
      </w:pPr>
    </w:p>
    <w:p w14:paraId="3A50A66C" w14:textId="77777777" w:rsidR="00722C3F" w:rsidRPr="00F94F0A" w:rsidRDefault="00722C3F" w:rsidP="001F329E">
      <w:pPr>
        <w:pStyle w:val="Heading1"/>
        <w:spacing w:before="0" w:line="240" w:lineRule="auto"/>
        <w:rPr>
          <w:rFonts w:cs="Arial"/>
          <w:sz w:val="21"/>
          <w:szCs w:val="21"/>
        </w:rPr>
      </w:pPr>
    </w:p>
    <w:p w14:paraId="430D4BE9" w14:textId="272AD044" w:rsidR="00722C3F" w:rsidRPr="00F94F0A" w:rsidRDefault="000E19E7" w:rsidP="001F329E">
      <w:pPr>
        <w:pStyle w:val="Title"/>
        <w:jc w:val="center"/>
      </w:pPr>
      <w:r>
        <w:t>Use what’s at hand: a</w:t>
      </w:r>
      <w:r w:rsidR="00722C3F" w:rsidRPr="00F94F0A">
        <w:t xml:space="preserve">ccessible </w:t>
      </w:r>
      <w:r w:rsidR="00722C3F" w:rsidRPr="00CD43FA">
        <w:t>consumer</w:t>
      </w:r>
      <w:r w:rsidR="00722C3F" w:rsidRPr="00F94F0A">
        <w:t xml:space="preserve"> electronics</w:t>
      </w:r>
      <w:r>
        <w:t xml:space="preserve"> for assistive technology and service delivery</w:t>
      </w:r>
    </w:p>
    <w:p w14:paraId="7F100387" w14:textId="02F4BC58" w:rsidR="001F329E" w:rsidRDefault="001F329E" w:rsidP="001F329E">
      <w:pPr>
        <w:spacing w:after="0" w:line="240" w:lineRule="auto"/>
        <w:rPr>
          <w:rFonts w:ascii="Arial" w:hAnsi="Arial" w:cs="Arial"/>
          <w:sz w:val="21"/>
          <w:szCs w:val="21"/>
        </w:rPr>
      </w:pPr>
    </w:p>
    <w:p w14:paraId="01EA34FE" w14:textId="75529858" w:rsidR="001B54EE" w:rsidRDefault="001B54EE" w:rsidP="001B54EE">
      <w:pPr>
        <w:pStyle w:val="Heading1"/>
      </w:pPr>
      <w:r>
        <w:t>Introduction</w:t>
      </w:r>
      <w:r w:rsidR="00537101">
        <w:t xml:space="preserve"> </w:t>
      </w:r>
    </w:p>
    <w:p w14:paraId="3C23AA4A" w14:textId="77777777" w:rsidR="001B54EE" w:rsidRDefault="001B54EE" w:rsidP="001F329E">
      <w:pPr>
        <w:spacing w:after="0" w:line="240" w:lineRule="auto"/>
        <w:rPr>
          <w:rFonts w:ascii="Arial" w:hAnsi="Arial" w:cs="Arial"/>
          <w:sz w:val="21"/>
          <w:szCs w:val="21"/>
        </w:rPr>
      </w:pPr>
    </w:p>
    <w:p w14:paraId="3F943984" w14:textId="52192E0E" w:rsidR="00E713D6" w:rsidRPr="00E713D6" w:rsidRDefault="00E713D6" w:rsidP="001F329E">
      <w:pPr>
        <w:spacing w:after="0" w:line="240" w:lineRule="auto"/>
        <w:rPr>
          <w:rFonts w:ascii="Arial" w:hAnsi="Arial" w:cs="Arial"/>
          <w:sz w:val="21"/>
          <w:szCs w:val="21"/>
          <w:lang w:val="en-US"/>
        </w:rPr>
      </w:pPr>
      <w:r>
        <w:rPr>
          <w:rFonts w:ascii="Arial" w:hAnsi="Arial" w:cs="Arial"/>
          <w:sz w:val="21"/>
          <w:szCs w:val="21"/>
        </w:rPr>
        <w:t xml:space="preserve">In their </w:t>
      </w:r>
      <w:r w:rsidRPr="00E713D6">
        <w:rPr>
          <w:rFonts w:ascii="Arial" w:hAnsi="Arial" w:cs="Arial"/>
          <w:sz w:val="21"/>
          <w:szCs w:val="21"/>
        </w:rPr>
        <w:t xml:space="preserve">Global </w:t>
      </w:r>
      <w:r w:rsidR="00D73ED3">
        <w:rPr>
          <w:rFonts w:ascii="Arial" w:hAnsi="Arial" w:cs="Arial"/>
          <w:sz w:val="21"/>
          <w:szCs w:val="21"/>
        </w:rPr>
        <w:t>R</w:t>
      </w:r>
      <w:r w:rsidRPr="00E713D6">
        <w:rPr>
          <w:rFonts w:ascii="Arial" w:hAnsi="Arial" w:cs="Arial"/>
          <w:sz w:val="21"/>
          <w:szCs w:val="21"/>
        </w:rPr>
        <w:t xml:space="preserve">eport on </w:t>
      </w:r>
      <w:r w:rsidR="00D73ED3">
        <w:rPr>
          <w:rFonts w:ascii="Arial" w:hAnsi="Arial" w:cs="Arial"/>
          <w:sz w:val="21"/>
          <w:szCs w:val="21"/>
        </w:rPr>
        <w:t>H</w:t>
      </w:r>
      <w:r w:rsidRPr="00E713D6">
        <w:rPr>
          <w:rFonts w:ascii="Arial" w:hAnsi="Arial" w:cs="Arial"/>
          <w:sz w:val="21"/>
          <w:szCs w:val="21"/>
        </w:rPr>
        <w:t xml:space="preserve">ealth </w:t>
      </w:r>
      <w:r w:rsidR="00D73ED3">
        <w:rPr>
          <w:rFonts w:ascii="Arial" w:hAnsi="Arial" w:cs="Arial"/>
          <w:sz w:val="21"/>
          <w:szCs w:val="21"/>
        </w:rPr>
        <w:t>E</w:t>
      </w:r>
      <w:r w:rsidRPr="00E713D6">
        <w:rPr>
          <w:rFonts w:ascii="Arial" w:hAnsi="Arial" w:cs="Arial"/>
          <w:sz w:val="21"/>
          <w:szCs w:val="21"/>
        </w:rPr>
        <w:t xml:space="preserve">quity for </w:t>
      </w:r>
      <w:r w:rsidR="00D73ED3">
        <w:rPr>
          <w:rFonts w:ascii="Arial" w:hAnsi="Arial" w:cs="Arial"/>
          <w:sz w:val="21"/>
          <w:szCs w:val="21"/>
        </w:rPr>
        <w:t>P</w:t>
      </w:r>
      <w:r w:rsidRPr="00E713D6">
        <w:rPr>
          <w:rFonts w:ascii="Arial" w:hAnsi="Arial" w:cs="Arial"/>
          <w:sz w:val="21"/>
          <w:szCs w:val="21"/>
        </w:rPr>
        <w:t xml:space="preserve">ersons with </w:t>
      </w:r>
      <w:r w:rsidR="00D73ED3">
        <w:rPr>
          <w:rFonts w:ascii="Arial" w:hAnsi="Arial" w:cs="Arial"/>
          <w:sz w:val="21"/>
          <w:szCs w:val="21"/>
        </w:rPr>
        <w:t>D</w:t>
      </w:r>
      <w:r w:rsidRPr="00E713D6">
        <w:rPr>
          <w:rFonts w:ascii="Arial" w:hAnsi="Arial" w:cs="Arial"/>
          <w:sz w:val="21"/>
          <w:szCs w:val="21"/>
        </w:rPr>
        <w:t>isabilities</w:t>
      </w:r>
      <w:r>
        <w:rPr>
          <w:rFonts w:ascii="Arial" w:hAnsi="Arial" w:cs="Arial"/>
          <w:sz w:val="21"/>
          <w:szCs w:val="21"/>
        </w:rPr>
        <w:t>, published in December 2022, WHO states estimates that “</w:t>
      </w:r>
      <w:r w:rsidRPr="00E713D6">
        <w:rPr>
          <w:rFonts w:ascii="Arial" w:hAnsi="Arial" w:cs="Arial"/>
          <w:sz w:val="21"/>
          <w:szCs w:val="21"/>
        </w:rPr>
        <w:t xml:space="preserve">1.3 billion people – or 16% of </w:t>
      </w:r>
      <w:r w:rsidR="00EB3BB7">
        <w:rPr>
          <w:rFonts w:ascii="Arial" w:hAnsi="Arial" w:cs="Arial"/>
          <w:sz w:val="21"/>
          <w:szCs w:val="21"/>
        </w:rPr>
        <w:t xml:space="preserve">the </w:t>
      </w:r>
      <w:r w:rsidRPr="00E713D6">
        <w:rPr>
          <w:rFonts w:ascii="Arial" w:hAnsi="Arial" w:cs="Arial"/>
          <w:sz w:val="21"/>
          <w:szCs w:val="21"/>
        </w:rPr>
        <w:t>global population worldwide – experience a significant disability today</w:t>
      </w:r>
      <w:r>
        <w:rPr>
          <w:rFonts w:ascii="Arial" w:hAnsi="Arial" w:cs="Arial"/>
          <w:sz w:val="21"/>
          <w:szCs w:val="21"/>
        </w:rPr>
        <w:t>”.</w:t>
      </w:r>
      <w:r w:rsidR="00D73ED3">
        <w:rPr>
          <w:rFonts w:ascii="Arial" w:hAnsi="Arial" w:cs="Arial"/>
          <w:sz w:val="21"/>
          <w:szCs w:val="21"/>
        </w:rPr>
        <w:t xml:space="preserve"> Due to a lack of equal access to health, people with </w:t>
      </w:r>
      <w:r w:rsidR="00D73ED3" w:rsidRPr="00D73ED3">
        <w:rPr>
          <w:rFonts w:ascii="Arial" w:hAnsi="Arial" w:cs="Arial"/>
          <w:sz w:val="21"/>
          <w:szCs w:val="21"/>
          <w:lang w:val="en-US"/>
        </w:rPr>
        <w:t>disabilities </w:t>
      </w:r>
      <w:r w:rsidR="00D73ED3">
        <w:rPr>
          <w:rFonts w:ascii="Arial" w:hAnsi="Arial" w:cs="Arial"/>
          <w:sz w:val="21"/>
          <w:szCs w:val="21"/>
          <w:lang w:val="en-US"/>
        </w:rPr>
        <w:t>“</w:t>
      </w:r>
      <w:r w:rsidR="00D73ED3" w:rsidRPr="00D73ED3">
        <w:rPr>
          <w:rFonts w:ascii="Arial" w:hAnsi="Arial" w:cs="Arial"/>
          <w:sz w:val="21"/>
          <w:szCs w:val="21"/>
          <w:lang w:val="en-US"/>
        </w:rPr>
        <w:t>continue to die earlier, have poorer health, and experience more limitations in everyday functioning than others</w:t>
      </w:r>
      <w:r w:rsidR="00D73ED3">
        <w:rPr>
          <w:rFonts w:ascii="Arial" w:hAnsi="Arial" w:cs="Arial"/>
          <w:sz w:val="21"/>
          <w:szCs w:val="21"/>
          <w:lang w:val="en-US"/>
        </w:rPr>
        <w:t>”</w:t>
      </w:r>
      <w:r w:rsidR="00D73ED3" w:rsidRPr="00D73ED3">
        <w:rPr>
          <w:rFonts w:ascii="Arial" w:hAnsi="Arial" w:cs="Arial"/>
          <w:sz w:val="21"/>
          <w:szCs w:val="21"/>
          <w:lang w:val="en-US"/>
        </w:rPr>
        <w:t>.</w:t>
      </w:r>
      <w:r>
        <w:rPr>
          <w:rStyle w:val="FootnoteReference"/>
          <w:rFonts w:ascii="Arial" w:hAnsi="Arial" w:cs="Arial"/>
          <w:sz w:val="21"/>
          <w:szCs w:val="21"/>
        </w:rPr>
        <w:footnoteReference w:id="1"/>
      </w:r>
    </w:p>
    <w:p w14:paraId="0782F115" w14:textId="3D14704F" w:rsidR="00E713D6" w:rsidRDefault="00E713D6" w:rsidP="001F329E">
      <w:pPr>
        <w:spacing w:after="0" w:line="240" w:lineRule="auto"/>
        <w:rPr>
          <w:rFonts w:ascii="Arial" w:hAnsi="Arial" w:cs="Arial"/>
          <w:sz w:val="21"/>
          <w:szCs w:val="21"/>
          <w:lang w:val="en-US"/>
        </w:rPr>
      </w:pPr>
    </w:p>
    <w:p w14:paraId="6AD41941" w14:textId="17897B23" w:rsidR="001F3728" w:rsidRPr="007119C7" w:rsidRDefault="00E21311" w:rsidP="00DE4630">
      <w:pPr>
        <w:spacing w:after="0" w:line="240" w:lineRule="auto"/>
        <w:rPr>
          <w:rFonts w:ascii="Arial" w:hAnsi="Arial" w:cs="Arial"/>
          <w:sz w:val="21"/>
          <w:szCs w:val="21"/>
          <w:lang w:val="en-US"/>
        </w:rPr>
      </w:pPr>
      <w:r>
        <w:rPr>
          <w:rFonts w:ascii="Arial" w:hAnsi="Arial" w:cs="Arial"/>
          <w:sz w:val="21"/>
          <w:szCs w:val="21"/>
          <w:lang w:val="en-US"/>
        </w:rPr>
        <w:t>Some of th</w:t>
      </w:r>
      <w:r w:rsidR="00120D5D">
        <w:rPr>
          <w:rFonts w:ascii="Arial" w:hAnsi="Arial" w:cs="Arial"/>
          <w:sz w:val="21"/>
          <w:szCs w:val="21"/>
          <w:lang w:val="en-US"/>
        </w:rPr>
        <w:t>e challenges that people with disabilities face, can be helped with assistive technology</w:t>
      </w:r>
      <w:r w:rsidR="00393229">
        <w:rPr>
          <w:rFonts w:ascii="Arial" w:hAnsi="Arial" w:cs="Arial"/>
          <w:sz w:val="21"/>
          <w:szCs w:val="21"/>
          <w:lang w:val="en-US"/>
        </w:rPr>
        <w:t xml:space="preserve"> (AT)</w:t>
      </w:r>
      <w:r w:rsidR="00393229">
        <w:rPr>
          <w:rStyle w:val="FootnoteReference"/>
          <w:rFonts w:ascii="Arial" w:hAnsi="Arial" w:cs="Arial"/>
          <w:sz w:val="21"/>
          <w:szCs w:val="21"/>
          <w:lang w:val="en-US"/>
        </w:rPr>
        <w:footnoteReference w:id="2"/>
      </w:r>
      <w:r w:rsidR="00120D5D">
        <w:rPr>
          <w:rFonts w:ascii="Arial" w:hAnsi="Arial" w:cs="Arial"/>
          <w:sz w:val="21"/>
          <w:szCs w:val="21"/>
          <w:lang w:val="en-US"/>
        </w:rPr>
        <w:t>. “</w:t>
      </w:r>
      <w:r w:rsidR="00120D5D" w:rsidRPr="00120D5D">
        <w:rPr>
          <w:rFonts w:ascii="Arial" w:hAnsi="Arial" w:cs="Arial"/>
          <w:sz w:val="21"/>
          <w:szCs w:val="21"/>
          <w:lang w:val="en-US"/>
        </w:rPr>
        <w:t>[</w:t>
      </w:r>
      <w:r w:rsidR="00120D5D">
        <w:rPr>
          <w:rFonts w:ascii="Arial" w:hAnsi="Arial" w:cs="Arial"/>
          <w:sz w:val="21"/>
          <w:szCs w:val="21"/>
          <w:lang w:val="en-US"/>
        </w:rPr>
        <w:t>A</w:t>
      </w:r>
      <w:r w:rsidR="00120D5D" w:rsidRPr="00120D5D">
        <w:rPr>
          <w:rFonts w:ascii="Arial" w:hAnsi="Arial" w:cs="Arial"/>
          <w:sz w:val="21"/>
          <w:szCs w:val="21"/>
          <w:lang w:val="en-US"/>
        </w:rPr>
        <w:t>]</w:t>
      </w:r>
      <w:proofErr w:type="spellStart"/>
      <w:r w:rsidR="00120D5D" w:rsidRPr="00120D5D">
        <w:rPr>
          <w:rFonts w:ascii="Arial" w:hAnsi="Arial" w:cs="Arial"/>
          <w:sz w:val="21"/>
          <w:szCs w:val="21"/>
          <w:lang w:val="en-US"/>
        </w:rPr>
        <w:t>ccess</w:t>
      </w:r>
      <w:proofErr w:type="spellEnd"/>
      <w:r w:rsidR="00120D5D" w:rsidRPr="00120D5D">
        <w:rPr>
          <w:rFonts w:ascii="Arial" w:hAnsi="Arial" w:cs="Arial"/>
          <w:sz w:val="21"/>
          <w:szCs w:val="21"/>
          <w:lang w:val="en-US"/>
        </w:rPr>
        <w:t xml:space="preserve"> to appropriate, quality assistive technology can mean the difference between enabling or denying education for a child, participation in the workforce for an adult, or the opportunity to maintain independence and age with dignity for an older person</w:t>
      </w:r>
      <w:r w:rsidR="00120D5D">
        <w:rPr>
          <w:rFonts w:ascii="Arial" w:hAnsi="Arial" w:cs="Arial"/>
          <w:sz w:val="21"/>
          <w:szCs w:val="21"/>
          <w:lang w:val="en-US"/>
        </w:rPr>
        <w:t>”, WHO</w:t>
      </w:r>
      <w:r w:rsidR="00D40DED">
        <w:rPr>
          <w:rFonts w:ascii="Arial" w:hAnsi="Arial" w:cs="Arial"/>
          <w:sz w:val="21"/>
          <w:szCs w:val="21"/>
          <w:lang w:val="en-US"/>
        </w:rPr>
        <w:t xml:space="preserve"> and UNICEF write</w:t>
      </w:r>
      <w:r w:rsidR="00120D5D">
        <w:rPr>
          <w:rFonts w:ascii="Arial" w:hAnsi="Arial" w:cs="Arial"/>
          <w:sz w:val="21"/>
          <w:szCs w:val="21"/>
          <w:lang w:val="en-US"/>
        </w:rPr>
        <w:t xml:space="preserve"> in the </w:t>
      </w:r>
      <w:r w:rsidR="003A3F05" w:rsidRPr="003A3F05">
        <w:rPr>
          <w:rFonts w:ascii="Arial" w:hAnsi="Arial" w:cs="Arial"/>
          <w:sz w:val="21"/>
          <w:szCs w:val="21"/>
          <w:lang w:val="en-US"/>
        </w:rPr>
        <w:t xml:space="preserve">Global </w:t>
      </w:r>
      <w:r w:rsidR="003A3F05">
        <w:rPr>
          <w:rFonts w:ascii="Arial" w:hAnsi="Arial" w:cs="Arial"/>
          <w:sz w:val="21"/>
          <w:szCs w:val="21"/>
          <w:lang w:val="en-US"/>
        </w:rPr>
        <w:t>R</w:t>
      </w:r>
      <w:r w:rsidR="003A3F05" w:rsidRPr="003A3F05">
        <w:rPr>
          <w:rFonts w:ascii="Arial" w:hAnsi="Arial" w:cs="Arial"/>
          <w:sz w:val="21"/>
          <w:szCs w:val="21"/>
          <w:lang w:val="en-US"/>
        </w:rPr>
        <w:t xml:space="preserve">eport on </w:t>
      </w:r>
      <w:r w:rsidR="003A3F05">
        <w:rPr>
          <w:rFonts w:ascii="Arial" w:hAnsi="Arial" w:cs="Arial"/>
          <w:sz w:val="21"/>
          <w:szCs w:val="21"/>
          <w:lang w:val="en-US"/>
        </w:rPr>
        <w:t>A</w:t>
      </w:r>
      <w:r w:rsidR="003A3F05" w:rsidRPr="003A3F05">
        <w:rPr>
          <w:rFonts w:ascii="Arial" w:hAnsi="Arial" w:cs="Arial"/>
          <w:sz w:val="21"/>
          <w:szCs w:val="21"/>
          <w:lang w:val="en-US"/>
        </w:rPr>
        <w:t xml:space="preserve">ssistive </w:t>
      </w:r>
      <w:r w:rsidR="003A3F05">
        <w:rPr>
          <w:rFonts w:ascii="Arial" w:hAnsi="Arial" w:cs="Arial"/>
          <w:sz w:val="21"/>
          <w:szCs w:val="21"/>
          <w:lang w:val="en-US"/>
        </w:rPr>
        <w:t>T</w:t>
      </w:r>
      <w:r w:rsidR="003A3F05" w:rsidRPr="003A3F05">
        <w:rPr>
          <w:rFonts w:ascii="Arial" w:hAnsi="Arial" w:cs="Arial"/>
          <w:sz w:val="21"/>
          <w:szCs w:val="21"/>
          <w:lang w:val="en-US"/>
        </w:rPr>
        <w:t>echnology</w:t>
      </w:r>
      <w:r w:rsidR="00120D5D">
        <w:rPr>
          <w:rStyle w:val="FootnoteReference"/>
          <w:rFonts w:ascii="Arial" w:hAnsi="Arial" w:cs="Arial"/>
          <w:sz w:val="21"/>
          <w:szCs w:val="21"/>
          <w:lang w:val="en-US"/>
        </w:rPr>
        <w:footnoteReference w:id="3"/>
      </w:r>
      <w:r w:rsidR="00120D5D">
        <w:rPr>
          <w:rFonts w:ascii="Arial" w:hAnsi="Arial" w:cs="Arial"/>
          <w:sz w:val="21"/>
          <w:szCs w:val="21"/>
          <w:lang w:val="en-US"/>
        </w:rPr>
        <w:t xml:space="preserve"> published in May 2022. </w:t>
      </w:r>
      <w:r w:rsidR="00826C9C">
        <w:rPr>
          <w:rFonts w:ascii="Arial" w:hAnsi="Arial" w:cs="Arial"/>
          <w:sz w:val="21"/>
          <w:szCs w:val="21"/>
          <w:lang w:val="en-US"/>
        </w:rPr>
        <w:t xml:space="preserve">It is estimated that today already </w:t>
      </w:r>
      <w:r w:rsidR="00826C9C" w:rsidRPr="00826C9C">
        <w:rPr>
          <w:rFonts w:ascii="Arial" w:hAnsi="Arial" w:cs="Arial"/>
          <w:sz w:val="21"/>
          <w:szCs w:val="21"/>
          <w:lang w:val="en-US"/>
        </w:rPr>
        <w:t xml:space="preserve">2.5 billion people </w:t>
      </w:r>
      <w:r w:rsidR="00826C9C">
        <w:rPr>
          <w:rFonts w:ascii="Arial" w:hAnsi="Arial" w:cs="Arial"/>
          <w:sz w:val="21"/>
          <w:szCs w:val="21"/>
          <w:lang w:val="en-US"/>
        </w:rPr>
        <w:t xml:space="preserve">would </w:t>
      </w:r>
      <w:r w:rsidR="00826C9C" w:rsidRPr="00826C9C">
        <w:rPr>
          <w:rFonts w:ascii="Arial" w:hAnsi="Arial" w:cs="Arial"/>
          <w:sz w:val="21"/>
          <w:szCs w:val="21"/>
          <w:lang w:val="en-US"/>
        </w:rPr>
        <w:t xml:space="preserve">require assistive products and </w:t>
      </w:r>
      <w:r w:rsidR="00826C9C">
        <w:rPr>
          <w:rFonts w:ascii="Arial" w:hAnsi="Arial" w:cs="Arial"/>
          <w:sz w:val="21"/>
          <w:szCs w:val="21"/>
          <w:lang w:val="en-US"/>
        </w:rPr>
        <w:t>that this number will</w:t>
      </w:r>
      <w:r w:rsidR="00826C9C" w:rsidRPr="00826C9C">
        <w:rPr>
          <w:rFonts w:ascii="Arial" w:hAnsi="Arial" w:cs="Arial"/>
          <w:sz w:val="21"/>
          <w:szCs w:val="21"/>
          <w:lang w:val="en-US"/>
        </w:rPr>
        <w:t xml:space="preserve"> </w:t>
      </w:r>
      <w:r w:rsidR="00826C9C">
        <w:rPr>
          <w:rFonts w:ascii="Arial" w:hAnsi="Arial" w:cs="Arial"/>
          <w:sz w:val="21"/>
          <w:szCs w:val="21"/>
          <w:lang w:val="en-US"/>
        </w:rPr>
        <w:t>increase to</w:t>
      </w:r>
      <w:r w:rsidR="00826C9C" w:rsidRPr="00826C9C">
        <w:rPr>
          <w:rFonts w:ascii="Arial" w:hAnsi="Arial" w:cs="Arial"/>
          <w:sz w:val="21"/>
          <w:szCs w:val="21"/>
          <w:lang w:val="en-US"/>
        </w:rPr>
        <w:t xml:space="preserve"> over 3.5 billion by 2050</w:t>
      </w:r>
      <w:r w:rsidR="00826C9C">
        <w:rPr>
          <w:rFonts w:ascii="Arial" w:hAnsi="Arial" w:cs="Arial"/>
          <w:sz w:val="21"/>
          <w:szCs w:val="21"/>
          <w:lang w:val="en-US"/>
        </w:rPr>
        <w:t>, due to our populations ageing</w:t>
      </w:r>
      <w:r w:rsidR="00826C9C" w:rsidRPr="00FD51FB">
        <w:rPr>
          <w:rFonts w:ascii="Arial" w:hAnsi="Arial" w:cs="Arial"/>
          <w:color w:val="4472C4" w:themeColor="accent1"/>
          <w:sz w:val="21"/>
          <w:szCs w:val="21"/>
          <w:lang w:val="en-US"/>
        </w:rPr>
        <w:t xml:space="preserve">. </w:t>
      </w:r>
      <w:r w:rsidR="001F3728" w:rsidRPr="00FD51FB">
        <w:rPr>
          <w:rFonts w:ascii="Arial" w:hAnsi="Arial" w:cs="Arial"/>
          <w:color w:val="4472C4" w:themeColor="accent1"/>
          <w:sz w:val="21"/>
          <w:szCs w:val="21"/>
          <w:lang w:val="en-US"/>
        </w:rPr>
        <w:t xml:space="preserve">Research underlying the report </w:t>
      </w:r>
      <w:r w:rsidR="00DE4630" w:rsidRPr="00FD51FB">
        <w:rPr>
          <w:rFonts w:ascii="Arial" w:hAnsi="Arial" w:cs="Arial"/>
          <w:color w:val="4472C4" w:themeColor="accent1"/>
          <w:sz w:val="21"/>
          <w:szCs w:val="21"/>
          <w:lang w:val="en-US"/>
        </w:rPr>
        <w:t xml:space="preserve">showed huge inequity in access to AT: </w:t>
      </w:r>
      <w:r w:rsidR="00DE4630" w:rsidRPr="00FD51FB">
        <w:rPr>
          <w:rFonts w:ascii="Arial" w:hAnsi="Arial" w:cs="Arial"/>
          <w:color w:val="4472C4" w:themeColor="accent1"/>
          <w:sz w:val="21"/>
          <w:szCs w:val="21"/>
        </w:rPr>
        <w:t xml:space="preserve">in some countries, nearly 90% of people in need of assistive technology have access to the products they need; while, in some other countries, it is only 3% who can access the technology they need. </w:t>
      </w:r>
    </w:p>
    <w:p w14:paraId="198D16DA" w14:textId="050E11C7" w:rsidR="007C4225" w:rsidRDefault="007C4225" w:rsidP="001F329E">
      <w:pPr>
        <w:spacing w:after="0" w:line="240" w:lineRule="auto"/>
        <w:rPr>
          <w:rFonts w:ascii="Arial" w:hAnsi="Arial" w:cs="Arial"/>
          <w:sz w:val="21"/>
          <w:szCs w:val="21"/>
          <w:lang w:val="en-US"/>
        </w:rPr>
      </w:pPr>
    </w:p>
    <w:p w14:paraId="2B714F17" w14:textId="3BF07370" w:rsidR="0056110F" w:rsidRPr="0056110F" w:rsidRDefault="00316BD1" w:rsidP="0056110F">
      <w:pPr>
        <w:spacing w:after="0"/>
        <w:rPr>
          <w:rFonts w:ascii="Arial" w:hAnsi="Arial" w:cs="Arial"/>
          <w:sz w:val="21"/>
          <w:szCs w:val="21"/>
          <w:lang w:val="en-US"/>
        </w:rPr>
      </w:pPr>
      <w:r>
        <w:rPr>
          <w:rFonts w:ascii="Arial" w:hAnsi="Arial" w:cs="Arial"/>
          <w:sz w:val="21"/>
          <w:szCs w:val="21"/>
        </w:rPr>
        <w:t xml:space="preserve">The </w:t>
      </w:r>
      <w:r w:rsidR="00AD1BE7">
        <w:rPr>
          <w:rFonts w:ascii="Arial" w:hAnsi="Arial" w:cs="Arial"/>
          <w:sz w:val="21"/>
          <w:szCs w:val="21"/>
        </w:rPr>
        <w:t xml:space="preserve">reasons for the </w:t>
      </w:r>
      <w:r>
        <w:rPr>
          <w:rFonts w:ascii="Arial" w:hAnsi="Arial" w:cs="Arial"/>
          <w:sz w:val="21"/>
          <w:szCs w:val="21"/>
        </w:rPr>
        <w:t xml:space="preserve">lack of access to assistive technology are </w:t>
      </w:r>
      <w:r w:rsidR="0061732E">
        <w:rPr>
          <w:rFonts w:ascii="Arial" w:hAnsi="Arial" w:cs="Arial"/>
          <w:sz w:val="21"/>
          <w:szCs w:val="21"/>
        </w:rPr>
        <w:t>many and varied</w:t>
      </w:r>
      <w:r>
        <w:rPr>
          <w:rFonts w:ascii="Arial" w:hAnsi="Arial" w:cs="Arial"/>
          <w:sz w:val="21"/>
          <w:szCs w:val="21"/>
        </w:rPr>
        <w:t xml:space="preserve">. </w:t>
      </w:r>
      <w:r w:rsidR="0056110F">
        <w:rPr>
          <w:rFonts w:ascii="Arial" w:hAnsi="Arial" w:cs="Arial"/>
          <w:sz w:val="21"/>
          <w:szCs w:val="21"/>
        </w:rPr>
        <w:t xml:space="preserve">The report lists as the foremost reasons:  </w:t>
      </w:r>
      <w:r w:rsidR="0056110F" w:rsidRPr="0056110F">
        <w:rPr>
          <w:rFonts w:ascii="Arial" w:hAnsi="Arial" w:cs="Arial"/>
          <w:sz w:val="21"/>
          <w:szCs w:val="21"/>
          <w:lang w:val="en-US"/>
        </w:rPr>
        <w:t>lack of awareness and affordability, lack of services, inadequate product quality, range and quantity, and procurement and supply chain challenges</w:t>
      </w:r>
      <w:r w:rsidR="0056110F">
        <w:rPr>
          <w:rFonts w:ascii="Arial" w:hAnsi="Arial" w:cs="Arial"/>
          <w:sz w:val="21"/>
          <w:szCs w:val="21"/>
          <w:lang w:val="en-US"/>
        </w:rPr>
        <w:t xml:space="preserve">. </w:t>
      </w:r>
    </w:p>
    <w:p w14:paraId="17CDC4B3" w14:textId="77777777" w:rsidR="006F148E" w:rsidRDefault="006F148E" w:rsidP="001F329E">
      <w:pPr>
        <w:spacing w:after="0" w:line="240" w:lineRule="auto"/>
        <w:rPr>
          <w:rFonts w:ascii="Arial" w:hAnsi="Arial" w:cs="Arial"/>
          <w:sz w:val="21"/>
          <w:szCs w:val="21"/>
        </w:rPr>
      </w:pPr>
    </w:p>
    <w:p w14:paraId="36A6AB2E" w14:textId="3B7CBD40" w:rsidR="00B41EA5" w:rsidRDefault="006F148E" w:rsidP="001F329E">
      <w:pPr>
        <w:spacing w:after="0" w:line="240" w:lineRule="auto"/>
        <w:rPr>
          <w:rFonts w:ascii="Arial" w:hAnsi="Arial" w:cs="Arial"/>
          <w:sz w:val="21"/>
          <w:szCs w:val="21"/>
          <w:lang w:val="en-US"/>
        </w:rPr>
      </w:pPr>
      <w:r>
        <w:rPr>
          <w:rFonts w:ascii="Arial" w:hAnsi="Arial" w:cs="Arial"/>
          <w:sz w:val="21"/>
          <w:szCs w:val="21"/>
        </w:rPr>
        <w:t xml:space="preserve">A </w:t>
      </w:r>
      <w:r w:rsidR="003A3F05">
        <w:rPr>
          <w:rFonts w:ascii="Arial" w:hAnsi="Arial" w:cs="Arial"/>
          <w:sz w:val="21"/>
          <w:szCs w:val="21"/>
        </w:rPr>
        <w:t>research study around the GARI project showed</w:t>
      </w:r>
      <w:r>
        <w:rPr>
          <w:rFonts w:ascii="Arial" w:hAnsi="Arial" w:cs="Arial"/>
          <w:sz w:val="21"/>
          <w:szCs w:val="21"/>
        </w:rPr>
        <w:t xml:space="preserve"> that several of these issues could be addressed by integrating accessible information and communication technologies (ICT) such as accessible smartphones, tablets and wearables into AT delivery. </w:t>
      </w:r>
      <w:r w:rsidR="007278E7">
        <w:rPr>
          <w:rFonts w:ascii="Arial" w:hAnsi="Arial" w:cs="Arial"/>
          <w:sz w:val="21"/>
          <w:szCs w:val="21"/>
        </w:rPr>
        <w:t xml:space="preserve">Indeed, more and more features </w:t>
      </w:r>
      <w:r w:rsidR="00CF5EDE" w:rsidRPr="00CF5EDE">
        <w:rPr>
          <w:rFonts w:ascii="Arial" w:hAnsi="Arial" w:cs="Arial"/>
          <w:sz w:val="21"/>
          <w:szCs w:val="21"/>
          <w:lang w:val="en-US"/>
        </w:rPr>
        <w:t xml:space="preserve">that people with disabilities want and use are built into accessible consumer devices and many assistive technology services are delivered </w:t>
      </w:r>
      <w:r w:rsidR="007278E7">
        <w:rPr>
          <w:rFonts w:ascii="Arial" w:hAnsi="Arial" w:cs="Arial"/>
          <w:sz w:val="21"/>
          <w:szCs w:val="21"/>
          <w:lang w:val="en-US"/>
        </w:rPr>
        <w:t>this way</w:t>
      </w:r>
      <w:r w:rsidR="00CF5EDE" w:rsidRPr="00CF5EDE">
        <w:rPr>
          <w:rFonts w:ascii="Arial" w:hAnsi="Arial" w:cs="Arial"/>
          <w:sz w:val="21"/>
          <w:szCs w:val="21"/>
          <w:lang w:val="en-US"/>
        </w:rPr>
        <w:t>.</w:t>
      </w:r>
      <w:r w:rsidR="007278E7">
        <w:rPr>
          <w:rFonts w:ascii="Arial" w:hAnsi="Arial" w:cs="Arial"/>
          <w:sz w:val="21"/>
          <w:szCs w:val="21"/>
          <w:lang w:val="en-US"/>
        </w:rPr>
        <w:t xml:space="preserve"> However, since they are mainstream devices in most cases they do not qualify for funding in most </w:t>
      </w:r>
      <w:r w:rsidR="00B41EA5" w:rsidRPr="00CF5EDE">
        <w:rPr>
          <w:rFonts w:ascii="Arial" w:hAnsi="Arial" w:cs="Arial"/>
          <w:sz w:val="21"/>
          <w:szCs w:val="21"/>
          <w:lang w:val="en-US"/>
        </w:rPr>
        <w:t xml:space="preserve">provision schemes for assistive technology (AT), </w:t>
      </w:r>
      <w:r w:rsidR="00B41EA5">
        <w:rPr>
          <w:rFonts w:ascii="Arial" w:hAnsi="Arial" w:cs="Arial"/>
          <w:sz w:val="21"/>
          <w:szCs w:val="21"/>
          <w:lang w:val="en-US"/>
        </w:rPr>
        <w:t>partly because many of those are founded on a medical model</w:t>
      </w:r>
      <w:r w:rsidR="007278E7">
        <w:rPr>
          <w:rFonts w:ascii="Arial" w:hAnsi="Arial" w:cs="Arial"/>
          <w:sz w:val="21"/>
          <w:szCs w:val="21"/>
          <w:lang w:val="en-US"/>
        </w:rPr>
        <w:t xml:space="preserve">, partly due to a lack of knowledge about the increasing capabilities of these technologies. </w:t>
      </w:r>
    </w:p>
    <w:p w14:paraId="7B3296A3" w14:textId="7CDE1283" w:rsidR="006F7F02" w:rsidRDefault="006F7F02" w:rsidP="001F329E">
      <w:pPr>
        <w:spacing w:after="0" w:line="240" w:lineRule="auto"/>
        <w:rPr>
          <w:rFonts w:ascii="Arial" w:hAnsi="Arial" w:cs="Arial"/>
          <w:sz w:val="21"/>
          <w:szCs w:val="21"/>
          <w:lang w:val="en-US"/>
        </w:rPr>
      </w:pPr>
    </w:p>
    <w:p w14:paraId="363C22FA" w14:textId="4AB233B5" w:rsidR="00632B15" w:rsidRPr="00632B15" w:rsidRDefault="00632B15" w:rsidP="00632B15">
      <w:pPr>
        <w:spacing w:after="0" w:line="240" w:lineRule="auto"/>
        <w:rPr>
          <w:rFonts w:ascii="Arial" w:hAnsi="Arial" w:cs="Arial"/>
          <w:sz w:val="21"/>
          <w:szCs w:val="21"/>
          <w:lang w:val="en-US"/>
        </w:rPr>
      </w:pPr>
      <w:r>
        <w:rPr>
          <w:rFonts w:ascii="Arial" w:hAnsi="Arial" w:cs="Arial"/>
          <w:sz w:val="21"/>
          <w:szCs w:val="21"/>
          <w:lang w:val="en"/>
        </w:rPr>
        <w:t>So</w:t>
      </w:r>
      <w:r w:rsidR="00512046">
        <w:rPr>
          <w:rFonts w:ascii="Arial" w:hAnsi="Arial" w:cs="Arial"/>
          <w:sz w:val="21"/>
          <w:szCs w:val="21"/>
          <w:lang w:val="en"/>
        </w:rPr>
        <w:t>,</w:t>
      </w:r>
      <w:r>
        <w:rPr>
          <w:rFonts w:ascii="Arial" w:hAnsi="Arial" w:cs="Arial"/>
          <w:sz w:val="21"/>
          <w:szCs w:val="21"/>
          <w:lang w:val="en"/>
        </w:rPr>
        <w:t xml:space="preserve"> we would like to raise the question: </w:t>
      </w:r>
      <w:r w:rsidRPr="00632B15">
        <w:rPr>
          <w:rFonts w:ascii="Arial" w:hAnsi="Arial" w:cs="Arial"/>
          <w:sz w:val="21"/>
          <w:szCs w:val="21"/>
          <w:lang w:val="en"/>
        </w:rPr>
        <w:t xml:space="preserve">Should accessible </w:t>
      </w:r>
      <w:r>
        <w:rPr>
          <w:rFonts w:ascii="Arial" w:hAnsi="Arial" w:cs="Arial"/>
          <w:sz w:val="21"/>
          <w:szCs w:val="21"/>
          <w:lang w:val="en"/>
        </w:rPr>
        <w:t>consumer devices such as smartphones, tablets and wearables be fully integrated into</w:t>
      </w:r>
      <w:r w:rsidRPr="00632B15">
        <w:rPr>
          <w:rFonts w:ascii="Arial" w:hAnsi="Arial" w:cs="Arial"/>
          <w:sz w:val="21"/>
          <w:szCs w:val="21"/>
          <w:lang w:val="en"/>
        </w:rPr>
        <w:t xml:space="preserve"> assistive technolog</w:t>
      </w:r>
      <w:r>
        <w:rPr>
          <w:rFonts w:ascii="Arial" w:hAnsi="Arial" w:cs="Arial"/>
          <w:sz w:val="21"/>
          <w:szCs w:val="21"/>
          <w:lang w:val="en"/>
        </w:rPr>
        <w:t xml:space="preserve">y delivery and eligible </w:t>
      </w:r>
      <w:r w:rsidR="00436231">
        <w:rPr>
          <w:rFonts w:ascii="Arial" w:hAnsi="Arial" w:cs="Arial"/>
          <w:sz w:val="21"/>
          <w:szCs w:val="21"/>
          <w:lang w:val="en"/>
        </w:rPr>
        <w:t>for</w:t>
      </w:r>
      <w:r>
        <w:rPr>
          <w:rFonts w:ascii="Arial" w:hAnsi="Arial" w:cs="Arial"/>
          <w:sz w:val="21"/>
          <w:szCs w:val="21"/>
          <w:lang w:val="en"/>
        </w:rPr>
        <w:t xml:space="preserve"> AT funding? </w:t>
      </w:r>
    </w:p>
    <w:p w14:paraId="6E791589" w14:textId="77777777" w:rsidR="00632B15" w:rsidRPr="00632B15" w:rsidRDefault="00632B15" w:rsidP="001F329E">
      <w:pPr>
        <w:spacing w:after="0" w:line="240" w:lineRule="auto"/>
        <w:rPr>
          <w:rFonts w:ascii="Arial" w:hAnsi="Arial" w:cs="Arial"/>
          <w:sz w:val="21"/>
          <w:szCs w:val="21"/>
          <w:lang w:val="en"/>
        </w:rPr>
      </w:pPr>
    </w:p>
    <w:p w14:paraId="2881BFB9" w14:textId="57A9DFAB" w:rsidR="004C5839" w:rsidRDefault="004D78CB" w:rsidP="004D78CB">
      <w:pPr>
        <w:pStyle w:val="Heading1"/>
        <w:rPr>
          <w:lang w:val="en-US"/>
        </w:rPr>
      </w:pPr>
      <w:r>
        <w:rPr>
          <w:lang w:val="en-US"/>
        </w:rPr>
        <w:lastRenderedPageBreak/>
        <w:t xml:space="preserve">Discussion </w:t>
      </w:r>
    </w:p>
    <w:p w14:paraId="60F3586D" w14:textId="1488DF5A" w:rsidR="00700C3D" w:rsidRDefault="00700C3D" w:rsidP="001F329E">
      <w:pPr>
        <w:spacing w:after="0" w:line="240" w:lineRule="auto"/>
        <w:rPr>
          <w:rFonts w:ascii="Arial" w:hAnsi="Arial" w:cs="Arial"/>
          <w:sz w:val="21"/>
          <w:szCs w:val="21"/>
        </w:rPr>
      </w:pPr>
    </w:p>
    <w:p w14:paraId="43A42DB5" w14:textId="3C3AB65F" w:rsidR="00F96DD0" w:rsidRDefault="00692177" w:rsidP="00692177">
      <w:pPr>
        <w:spacing w:after="0" w:line="240" w:lineRule="auto"/>
        <w:rPr>
          <w:rFonts w:ascii="Arial" w:hAnsi="Arial" w:cs="Arial"/>
          <w:sz w:val="21"/>
          <w:szCs w:val="21"/>
        </w:rPr>
      </w:pPr>
      <w:r w:rsidRPr="00F94F0A">
        <w:rPr>
          <w:rFonts w:ascii="Arial" w:hAnsi="Arial" w:cs="Arial"/>
          <w:sz w:val="21"/>
          <w:szCs w:val="21"/>
        </w:rPr>
        <w:t xml:space="preserve">Mobile technologies have become an integral part of modern societies and, for many people, have become the preferred means of access to employment, education, leisure, travel, and public services. The manufacturers of mobile technology devices, particularly phones and tablets, have increasingly made their products accessible to the broadest possible user base, building in a wide range of accessibility and assistive functionalities. The market leaders have joined together to provide better information to consumers about the accessibility of their devices </w:t>
      </w:r>
      <w:r w:rsidR="00E758B2">
        <w:rPr>
          <w:rFonts w:ascii="Arial" w:hAnsi="Arial" w:cs="Arial"/>
          <w:sz w:val="21"/>
          <w:szCs w:val="21"/>
        </w:rPr>
        <w:t>via</w:t>
      </w:r>
      <w:r w:rsidRPr="00F94F0A">
        <w:rPr>
          <w:rFonts w:ascii="Arial" w:hAnsi="Arial" w:cs="Arial"/>
          <w:sz w:val="21"/>
          <w:szCs w:val="21"/>
        </w:rPr>
        <w:t xml:space="preserve"> the Global Accessibility Reporting Initiative (GARI) within the Mobile &amp; Wireless Forum (MWF). </w:t>
      </w:r>
    </w:p>
    <w:p w14:paraId="4D20F2FC" w14:textId="77777777" w:rsidR="00F96DD0" w:rsidRDefault="00F96DD0" w:rsidP="00692177">
      <w:pPr>
        <w:spacing w:after="0" w:line="240" w:lineRule="auto"/>
        <w:rPr>
          <w:rFonts w:ascii="Arial" w:hAnsi="Arial" w:cs="Arial"/>
          <w:sz w:val="21"/>
          <w:szCs w:val="21"/>
        </w:rPr>
      </w:pPr>
    </w:p>
    <w:p w14:paraId="63D0F0A8" w14:textId="72D5C50A" w:rsidR="006A166B" w:rsidRPr="006A166B" w:rsidRDefault="00692177" w:rsidP="006A166B">
      <w:pPr>
        <w:spacing w:after="0" w:line="240" w:lineRule="auto"/>
        <w:rPr>
          <w:rFonts w:ascii="Arial" w:hAnsi="Arial" w:cs="Arial"/>
          <w:sz w:val="21"/>
          <w:szCs w:val="21"/>
          <w:lang w:val="en-US"/>
        </w:rPr>
      </w:pPr>
      <w:r w:rsidRPr="00F94F0A">
        <w:rPr>
          <w:rFonts w:ascii="Arial" w:hAnsi="Arial" w:cs="Arial"/>
          <w:sz w:val="21"/>
          <w:szCs w:val="21"/>
        </w:rPr>
        <w:t xml:space="preserve">GARI is a collaborative project bringing together a broad network of accessibility stakeholders and continues to evolve to respond to technological developments and feedback from the disability community. The latter included a recurring request for accessible consumer electronic devices such as mobile phones and tablets to be accepted as assistive technology (AT) and hence </w:t>
      </w:r>
      <w:r w:rsidR="00F96DD0">
        <w:rPr>
          <w:rFonts w:ascii="Arial" w:hAnsi="Arial" w:cs="Arial"/>
          <w:sz w:val="21"/>
          <w:szCs w:val="21"/>
        </w:rPr>
        <w:t xml:space="preserve">be </w:t>
      </w:r>
      <w:r w:rsidRPr="00F94F0A">
        <w:rPr>
          <w:rFonts w:ascii="Arial" w:hAnsi="Arial" w:cs="Arial"/>
          <w:sz w:val="21"/>
          <w:szCs w:val="21"/>
        </w:rPr>
        <w:t xml:space="preserve">eligible for AT funding where such funding is available. As a result, the </w:t>
      </w:r>
      <w:r w:rsidR="00F96DD0">
        <w:rPr>
          <w:rFonts w:ascii="Arial" w:hAnsi="Arial" w:cs="Arial"/>
          <w:sz w:val="21"/>
          <w:szCs w:val="21"/>
        </w:rPr>
        <w:t xml:space="preserve">MWF </w:t>
      </w:r>
      <w:r w:rsidRPr="00F94F0A">
        <w:rPr>
          <w:rFonts w:ascii="Arial" w:hAnsi="Arial" w:cs="Arial"/>
          <w:sz w:val="21"/>
          <w:szCs w:val="21"/>
        </w:rPr>
        <w:t xml:space="preserve">commissioned a team of 5 researchers to conduct an "Analysis of Funding and Provision Models for Mobile Technology for People with a Disability" in 2021. The study </w:t>
      </w:r>
      <w:r w:rsidR="006A166B">
        <w:rPr>
          <w:rFonts w:ascii="Arial" w:hAnsi="Arial" w:cs="Arial"/>
          <w:sz w:val="21"/>
          <w:szCs w:val="21"/>
          <w:lang w:val="en-US"/>
        </w:rPr>
        <w:t>set out to</w:t>
      </w:r>
      <w:r w:rsidR="006A166B" w:rsidRPr="006A166B">
        <w:rPr>
          <w:rFonts w:ascii="Arial" w:hAnsi="Arial" w:cs="Arial"/>
          <w:sz w:val="21"/>
          <w:szCs w:val="21"/>
          <w:lang w:val="en-US"/>
        </w:rPr>
        <w:t xml:space="preserve"> investigate to wh</w:t>
      </w:r>
      <w:r w:rsidR="007923D0">
        <w:rPr>
          <w:rFonts w:ascii="Arial" w:hAnsi="Arial" w:cs="Arial"/>
          <w:sz w:val="21"/>
          <w:szCs w:val="21"/>
          <w:lang w:val="en-US"/>
        </w:rPr>
        <w:t>at</w:t>
      </w:r>
      <w:r w:rsidR="006A166B" w:rsidRPr="006A166B">
        <w:rPr>
          <w:rFonts w:ascii="Arial" w:hAnsi="Arial" w:cs="Arial"/>
          <w:sz w:val="21"/>
          <w:szCs w:val="21"/>
          <w:lang w:val="en-US"/>
        </w:rPr>
        <w:t xml:space="preserve"> exten</w:t>
      </w:r>
      <w:r w:rsidR="007923D0">
        <w:rPr>
          <w:rFonts w:ascii="Arial" w:hAnsi="Arial" w:cs="Arial"/>
          <w:sz w:val="21"/>
          <w:szCs w:val="21"/>
          <w:lang w:val="en-US"/>
        </w:rPr>
        <w:t>t</w:t>
      </w:r>
      <w:r w:rsidR="006A166B" w:rsidRPr="006A166B">
        <w:rPr>
          <w:rFonts w:ascii="Arial" w:hAnsi="Arial" w:cs="Arial"/>
          <w:sz w:val="21"/>
          <w:szCs w:val="21"/>
          <w:lang w:val="en-US"/>
        </w:rPr>
        <w:t xml:space="preserve"> accessible mobile phones and tablets provide assistive functions and hence might be eligible for AT funding. </w:t>
      </w:r>
    </w:p>
    <w:p w14:paraId="61AD366B" w14:textId="77777777" w:rsidR="006A166B" w:rsidRPr="006A166B" w:rsidRDefault="006A166B" w:rsidP="006A166B">
      <w:pPr>
        <w:spacing w:after="0" w:line="240" w:lineRule="auto"/>
        <w:rPr>
          <w:rFonts w:ascii="Arial" w:hAnsi="Arial" w:cs="Arial"/>
          <w:sz w:val="21"/>
          <w:szCs w:val="21"/>
          <w:lang w:val="en-US"/>
        </w:rPr>
      </w:pPr>
    </w:p>
    <w:p w14:paraId="4D0D9B76" w14:textId="33732ECF" w:rsidR="006A166B" w:rsidRPr="002A6B89" w:rsidRDefault="006A166B" w:rsidP="006A166B">
      <w:pPr>
        <w:spacing w:after="0" w:line="240" w:lineRule="auto"/>
        <w:rPr>
          <w:rFonts w:ascii="Arial" w:hAnsi="Arial" w:cs="Arial"/>
          <w:sz w:val="21"/>
          <w:szCs w:val="21"/>
        </w:rPr>
      </w:pPr>
      <w:r w:rsidRPr="006A166B">
        <w:rPr>
          <w:rFonts w:ascii="Arial" w:hAnsi="Arial" w:cs="Arial"/>
          <w:sz w:val="21"/>
          <w:szCs w:val="21"/>
          <w:lang w:val="en-US"/>
        </w:rPr>
        <w:t xml:space="preserve">The research team investigated funding schemes in six countries </w:t>
      </w:r>
      <w:r w:rsidR="002A6B89">
        <w:rPr>
          <w:rFonts w:ascii="Arial" w:hAnsi="Arial" w:cs="Arial"/>
          <w:sz w:val="21"/>
          <w:szCs w:val="21"/>
          <w:lang w:val="en-US"/>
        </w:rPr>
        <w:t>(</w:t>
      </w:r>
      <w:r w:rsidR="002A6B89" w:rsidRPr="002A6B89">
        <w:rPr>
          <w:rFonts w:ascii="Arial" w:hAnsi="Arial" w:cs="Arial"/>
          <w:sz w:val="21"/>
          <w:szCs w:val="21"/>
        </w:rPr>
        <w:t>US, UK, Norway, Poland, Ireland, and Australia</w:t>
      </w:r>
      <w:r w:rsidR="002A6B89">
        <w:rPr>
          <w:rFonts w:ascii="Arial" w:hAnsi="Arial" w:cs="Arial"/>
          <w:sz w:val="21"/>
          <w:szCs w:val="21"/>
        </w:rPr>
        <w:t xml:space="preserve">) </w:t>
      </w:r>
      <w:r w:rsidRPr="006A166B">
        <w:rPr>
          <w:rFonts w:ascii="Arial" w:hAnsi="Arial" w:cs="Arial"/>
          <w:sz w:val="21"/>
          <w:szCs w:val="21"/>
          <w:lang w:val="en-US"/>
        </w:rPr>
        <w:t xml:space="preserve">and found that in none was </w:t>
      </w:r>
      <w:r w:rsidR="00E758B2">
        <w:rPr>
          <w:rFonts w:ascii="Arial" w:hAnsi="Arial" w:cs="Arial"/>
          <w:sz w:val="21"/>
          <w:szCs w:val="21"/>
          <w:lang w:val="en-US"/>
        </w:rPr>
        <w:t xml:space="preserve">there </w:t>
      </w:r>
      <w:r w:rsidRPr="006A166B">
        <w:rPr>
          <w:rFonts w:ascii="Arial" w:hAnsi="Arial" w:cs="Arial"/>
          <w:sz w:val="21"/>
          <w:szCs w:val="21"/>
          <w:lang w:val="en-US"/>
        </w:rPr>
        <w:t xml:space="preserve">funding for smartphones or tablets </w:t>
      </w:r>
      <w:r w:rsidR="007F4691">
        <w:rPr>
          <w:rFonts w:ascii="Arial" w:hAnsi="Arial" w:cs="Arial"/>
          <w:sz w:val="21"/>
          <w:szCs w:val="21"/>
          <w:lang w:val="en-US"/>
        </w:rPr>
        <w:t xml:space="preserve">even though </w:t>
      </w:r>
      <w:r w:rsidRPr="006A166B">
        <w:rPr>
          <w:rFonts w:ascii="Arial" w:hAnsi="Arial" w:cs="Arial"/>
          <w:sz w:val="21"/>
          <w:szCs w:val="21"/>
          <w:lang w:val="en-US"/>
        </w:rPr>
        <w:t>users emphasized how much they wanted and used those devices in everyday life. With the devices becoming accessible, more and more users with disabilities prefer accessible consumer electronics to cover their needs – partially because these devices provide a range of accessible and assistive functions, rather than one very specific function</w:t>
      </w:r>
      <w:r>
        <w:rPr>
          <w:rFonts w:ascii="Arial" w:hAnsi="Arial" w:cs="Arial"/>
          <w:sz w:val="21"/>
          <w:szCs w:val="21"/>
          <w:lang w:val="en-US"/>
        </w:rPr>
        <w:t>ality</w:t>
      </w:r>
      <w:r w:rsidRPr="006A166B">
        <w:rPr>
          <w:rFonts w:ascii="Arial" w:hAnsi="Arial" w:cs="Arial"/>
          <w:sz w:val="21"/>
          <w:szCs w:val="21"/>
          <w:lang w:val="en-US"/>
        </w:rPr>
        <w:t xml:space="preserve">, partially enjoying the use of mainstream tech and wanting to avoid the stigma </w:t>
      </w:r>
      <w:r>
        <w:rPr>
          <w:rFonts w:ascii="Arial" w:hAnsi="Arial" w:cs="Arial"/>
          <w:sz w:val="21"/>
          <w:szCs w:val="21"/>
          <w:lang w:val="en-US"/>
        </w:rPr>
        <w:t xml:space="preserve">(and often additional cost) </w:t>
      </w:r>
      <w:r w:rsidRPr="006A166B">
        <w:rPr>
          <w:rFonts w:ascii="Arial" w:hAnsi="Arial" w:cs="Arial"/>
          <w:sz w:val="21"/>
          <w:szCs w:val="21"/>
          <w:lang w:val="en-US"/>
        </w:rPr>
        <w:t xml:space="preserve">of needing specialized technology. </w:t>
      </w:r>
    </w:p>
    <w:p w14:paraId="1E11C99F" w14:textId="77777777" w:rsidR="006A166B" w:rsidRPr="006A166B" w:rsidRDefault="006A166B" w:rsidP="006A166B">
      <w:pPr>
        <w:spacing w:after="0" w:line="240" w:lineRule="auto"/>
        <w:rPr>
          <w:rFonts w:ascii="Arial" w:hAnsi="Arial" w:cs="Arial"/>
          <w:sz w:val="21"/>
          <w:szCs w:val="21"/>
          <w:lang w:val="en-US"/>
        </w:rPr>
      </w:pPr>
    </w:p>
    <w:p w14:paraId="2B70A4BE" w14:textId="150CC2B2"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Currently</w:t>
      </w:r>
      <w:r w:rsidR="00CA4001">
        <w:rPr>
          <w:rFonts w:ascii="Arial" w:hAnsi="Arial" w:cs="Arial"/>
          <w:sz w:val="21"/>
          <w:szCs w:val="21"/>
          <w:lang w:val="en-US"/>
        </w:rPr>
        <w:t>,</w:t>
      </w:r>
      <w:r w:rsidRPr="006A166B">
        <w:rPr>
          <w:rFonts w:ascii="Arial" w:hAnsi="Arial" w:cs="Arial"/>
          <w:sz w:val="21"/>
          <w:szCs w:val="21"/>
          <w:lang w:val="en-US"/>
        </w:rPr>
        <w:t xml:space="preserve"> however, </w:t>
      </w:r>
      <w:r w:rsidR="00705BCF">
        <w:rPr>
          <w:rFonts w:ascii="Arial" w:hAnsi="Arial" w:cs="Arial"/>
          <w:sz w:val="21"/>
          <w:szCs w:val="21"/>
          <w:lang w:val="en-US"/>
        </w:rPr>
        <w:t xml:space="preserve">most </w:t>
      </w:r>
      <w:r w:rsidRPr="006A166B">
        <w:rPr>
          <w:rFonts w:ascii="Arial" w:hAnsi="Arial" w:cs="Arial"/>
          <w:sz w:val="21"/>
          <w:szCs w:val="21"/>
          <w:lang w:val="en-US"/>
        </w:rPr>
        <w:t xml:space="preserve">funding systems are not prepared to cater to this need, effectively denying access to these devices to many people with disabilities and ignoring also a means to bridge the gap in AT provision with technology that is both wanted by the users and can potentially offer unanticipated additional benefits. </w:t>
      </w:r>
    </w:p>
    <w:p w14:paraId="1B6CC78C" w14:textId="77777777" w:rsidR="006A166B" w:rsidRPr="006A166B" w:rsidRDefault="006A166B" w:rsidP="006A166B">
      <w:pPr>
        <w:spacing w:after="0" w:line="240" w:lineRule="auto"/>
        <w:rPr>
          <w:rFonts w:ascii="Arial" w:hAnsi="Arial" w:cs="Arial"/>
          <w:sz w:val="21"/>
          <w:szCs w:val="21"/>
          <w:lang w:val="en-US"/>
        </w:rPr>
      </w:pPr>
    </w:p>
    <w:p w14:paraId="372FF404" w14:textId="15115998"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 xml:space="preserve">Not only </w:t>
      </w:r>
      <w:r w:rsidR="00F634FB">
        <w:rPr>
          <w:rFonts w:ascii="Arial" w:hAnsi="Arial" w:cs="Arial"/>
          <w:sz w:val="21"/>
          <w:szCs w:val="21"/>
          <w:lang w:val="en-US"/>
        </w:rPr>
        <w:t xml:space="preserve">do </w:t>
      </w:r>
      <w:r w:rsidRPr="006A166B">
        <w:rPr>
          <w:rFonts w:ascii="Arial" w:hAnsi="Arial" w:cs="Arial"/>
          <w:sz w:val="21"/>
          <w:szCs w:val="21"/>
          <w:lang w:val="en-US"/>
        </w:rPr>
        <w:t xml:space="preserve">our systems for AT provision need to evolve, but we need to rethink our concept of assistive technology in the digital world. This means shifting from the functions and the blurred definitions of assistive technology towards </w:t>
      </w:r>
      <w:r w:rsidR="00984416">
        <w:rPr>
          <w:rFonts w:ascii="Arial" w:hAnsi="Arial" w:cs="Arial"/>
          <w:sz w:val="21"/>
          <w:szCs w:val="21"/>
          <w:lang w:val="en-US"/>
        </w:rPr>
        <w:t xml:space="preserve">the </w:t>
      </w:r>
      <w:r w:rsidRPr="006A166B">
        <w:rPr>
          <w:rFonts w:ascii="Arial" w:hAnsi="Arial" w:cs="Arial"/>
          <w:sz w:val="21"/>
          <w:szCs w:val="21"/>
          <w:lang w:val="en-US"/>
        </w:rPr>
        <w:t xml:space="preserve">impact and purpose of </w:t>
      </w:r>
      <w:r w:rsidR="00984416">
        <w:rPr>
          <w:rFonts w:ascii="Arial" w:hAnsi="Arial" w:cs="Arial"/>
          <w:sz w:val="21"/>
          <w:szCs w:val="21"/>
          <w:lang w:val="en-US"/>
        </w:rPr>
        <w:t xml:space="preserve">AT </w:t>
      </w:r>
      <w:r w:rsidRPr="006A166B">
        <w:rPr>
          <w:rFonts w:ascii="Arial" w:hAnsi="Arial" w:cs="Arial"/>
          <w:sz w:val="21"/>
          <w:szCs w:val="21"/>
          <w:lang w:val="en-US"/>
        </w:rPr>
        <w:t>provision in the lives of people with disabilities. So far, the most effective in meeting the needs of users</w:t>
      </w:r>
      <w:r w:rsidR="00704626">
        <w:rPr>
          <w:rFonts w:ascii="Arial" w:hAnsi="Arial" w:cs="Arial"/>
          <w:sz w:val="21"/>
          <w:szCs w:val="21"/>
          <w:lang w:val="en-US"/>
        </w:rPr>
        <w:t xml:space="preserve"> </w:t>
      </w:r>
      <w:r w:rsidRPr="006A166B">
        <w:rPr>
          <w:rFonts w:ascii="Arial" w:hAnsi="Arial" w:cs="Arial"/>
          <w:sz w:val="21"/>
          <w:szCs w:val="21"/>
          <w:lang w:val="en-US"/>
        </w:rPr>
        <w:t xml:space="preserve">seem to be the systems that provide direct funding to people with disabilities, who can decide </w:t>
      </w:r>
      <w:r w:rsidR="00704626">
        <w:rPr>
          <w:rFonts w:ascii="Arial" w:hAnsi="Arial" w:cs="Arial"/>
          <w:sz w:val="21"/>
          <w:szCs w:val="21"/>
          <w:lang w:val="en-US"/>
        </w:rPr>
        <w:t xml:space="preserve">for </w:t>
      </w:r>
      <w:r w:rsidRPr="006A166B">
        <w:rPr>
          <w:rFonts w:ascii="Arial" w:hAnsi="Arial" w:cs="Arial"/>
          <w:sz w:val="21"/>
          <w:szCs w:val="21"/>
          <w:lang w:val="en-US"/>
        </w:rPr>
        <w:t xml:space="preserve">themselves what they need and want for that money. </w:t>
      </w:r>
    </w:p>
    <w:p w14:paraId="45B11319" w14:textId="77777777" w:rsidR="006A166B" w:rsidRPr="006A166B" w:rsidRDefault="006A166B" w:rsidP="006A166B">
      <w:pPr>
        <w:spacing w:after="0" w:line="240" w:lineRule="auto"/>
        <w:rPr>
          <w:rFonts w:ascii="Arial" w:hAnsi="Arial" w:cs="Arial"/>
          <w:sz w:val="21"/>
          <w:szCs w:val="21"/>
          <w:lang w:val="en-US"/>
        </w:rPr>
      </w:pPr>
    </w:p>
    <w:p w14:paraId="35367129" w14:textId="707BAB5C"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After investigating different funding models ranging from domain</w:t>
      </w:r>
      <w:r w:rsidR="00297FD2">
        <w:rPr>
          <w:rFonts w:ascii="Arial" w:hAnsi="Arial" w:cs="Arial"/>
          <w:sz w:val="21"/>
          <w:szCs w:val="21"/>
          <w:lang w:val="en-US"/>
        </w:rPr>
        <w:t>-</w:t>
      </w:r>
      <w:r w:rsidRPr="006A166B">
        <w:rPr>
          <w:rFonts w:ascii="Arial" w:hAnsi="Arial" w:cs="Arial"/>
          <w:sz w:val="21"/>
          <w:szCs w:val="21"/>
          <w:lang w:val="en-US"/>
        </w:rPr>
        <w:t>specific like education and employment, direct payments, and private and public insurance schemes, to not-for-profit and charitable funding, private funding, and the use of refurbished and reused models, the research</w:t>
      </w:r>
      <w:r w:rsidR="00297FD2">
        <w:rPr>
          <w:rFonts w:ascii="Arial" w:hAnsi="Arial" w:cs="Arial"/>
          <w:sz w:val="21"/>
          <w:szCs w:val="21"/>
          <w:lang w:val="en-US"/>
        </w:rPr>
        <w:t>ers concluded</w:t>
      </w:r>
      <w:r w:rsidRPr="006A166B">
        <w:rPr>
          <w:rFonts w:ascii="Arial" w:hAnsi="Arial" w:cs="Arial"/>
          <w:sz w:val="21"/>
          <w:szCs w:val="21"/>
          <w:lang w:val="en-US"/>
        </w:rPr>
        <w:t xml:space="preserve"> that mainstream mobile technologies can be a cost-effective way of providing people with disabilities with the technology they want and need, and that effectively a great many people with disabilities and their families are self-funding access to these technologies right now. But even so, when the pandemic hit, many people did not have access to the necessary technology to stay connected – neither the people with disabilities nor the care staff. </w:t>
      </w:r>
    </w:p>
    <w:p w14:paraId="04A00BE3" w14:textId="77777777" w:rsidR="006A166B" w:rsidRPr="006A166B" w:rsidRDefault="006A166B" w:rsidP="006A166B">
      <w:pPr>
        <w:spacing w:after="0" w:line="240" w:lineRule="auto"/>
        <w:rPr>
          <w:rFonts w:ascii="Arial" w:hAnsi="Arial" w:cs="Arial"/>
          <w:sz w:val="21"/>
          <w:szCs w:val="21"/>
          <w:lang w:val="en-US"/>
        </w:rPr>
      </w:pPr>
    </w:p>
    <w:p w14:paraId="0AF4BCB7" w14:textId="287907E6"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Also, the funding process that applicants need to run through is the same for a 5€ euro app as it is for a 15,000</w:t>
      </w:r>
      <w:r w:rsidR="00705BCF">
        <w:rPr>
          <w:rFonts w:ascii="Arial" w:hAnsi="Arial" w:cs="Arial"/>
          <w:sz w:val="21"/>
          <w:szCs w:val="21"/>
          <w:lang w:val="en-US"/>
        </w:rPr>
        <w:t>€</w:t>
      </w:r>
      <w:r w:rsidRPr="006A166B">
        <w:rPr>
          <w:rFonts w:ascii="Arial" w:hAnsi="Arial" w:cs="Arial"/>
          <w:sz w:val="21"/>
          <w:szCs w:val="21"/>
          <w:lang w:val="en-US"/>
        </w:rPr>
        <w:t xml:space="preserve"> eye-tracking system. The funding schemes have been designed around traditional </w:t>
      </w:r>
      <w:r w:rsidR="005012CC">
        <w:rPr>
          <w:rFonts w:ascii="Arial" w:hAnsi="Arial" w:cs="Arial"/>
          <w:sz w:val="21"/>
          <w:szCs w:val="21"/>
          <w:lang w:val="en-US"/>
        </w:rPr>
        <w:t>assistive technology</w:t>
      </w:r>
      <w:r w:rsidRPr="006A166B">
        <w:rPr>
          <w:rFonts w:ascii="Arial" w:hAnsi="Arial" w:cs="Arial"/>
          <w:sz w:val="21"/>
          <w:szCs w:val="21"/>
          <w:lang w:val="en-US"/>
        </w:rPr>
        <w:t xml:space="preserve">, but digital AT is delivered in a different way. </w:t>
      </w:r>
    </w:p>
    <w:p w14:paraId="69F86343" w14:textId="77777777" w:rsidR="006A166B" w:rsidRPr="006A166B" w:rsidRDefault="006A166B" w:rsidP="006A166B">
      <w:pPr>
        <w:spacing w:after="0" w:line="240" w:lineRule="auto"/>
        <w:rPr>
          <w:rFonts w:ascii="Arial" w:hAnsi="Arial" w:cs="Arial"/>
          <w:sz w:val="21"/>
          <w:szCs w:val="21"/>
          <w:lang w:val="en-US"/>
        </w:rPr>
      </w:pPr>
    </w:p>
    <w:p w14:paraId="7904F6AD" w14:textId="7ECD0D7E"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lastRenderedPageBreak/>
        <w:t>The true value of accessible mobile tech devices which already provide built-in text-to-speech, voice</w:t>
      </w:r>
      <w:r w:rsidR="001C0715">
        <w:rPr>
          <w:rFonts w:ascii="Arial" w:hAnsi="Arial" w:cs="Arial"/>
          <w:sz w:val="21"/>
          <w:szCs w:val="21"/>
          <w:lang w:val="en-US"/>
        </w:rPr>
        <w:t xml:space="preserve"> </w:t>
      </w:r>
      <w:r w:rsidRPr="006A166B">
        <w:rPr>
          <w:rFonts w:ascii="Arial" w:hAnsi="Arial" w:cs="Arial"/>
          <w:sz w:val="21"/>
          <w:szCs w:val="21"/>
          <w:lang w:val="en-US"/>
        </w:rPr>
        <w:t>input, word prediction, screen-readers</w:t>
      </w:r>
      <w:r w:rsidR="001C0715">
        <w:rPr>
          <w:rFonts w:ascii="Arial" w:hAnsi="Arial" w:cs="Arial"/>
          <w:sz w:val="21"/>
          <w:szCs w:val="21"/>
          <w:lang w:val="en-US"/>
        </w:rPr>
        <w:t>,</w:t>
      </w:r>
      <w:r w:rsidRPr="006A166B">
        <w:rPr>
          <w:rFonts w:ascii="Arial" w:hAnsi="Arial" w:cs="Arial"/>
          <w:sz w:val="21"/>
          <w:szCs w:val="21"/>
          <w:lang w:val="en-US"/>
        </w:rPr>
        <w:t xml:space="preserve"> and a whole range of other accessibility features, lies in being the core for comprehensive and personalized solutions upon which other things can be built on – such as fall detection, AAC (alternative and augmented communication) functionality, sound-amplification and much more. With the additional benefit that mobile technologies are the preferred platform by users with disabilities. </w:t>
      </w:r>
    </w:p>
    <w:p w14:paraId="4E7835EB" w14:textId="77777777" w:rsidR="006A166B" w:rsidRPr="006A166B" w:rsidRDefault="006A166B" w:rsidP="006A166B">
      <w:pPr>
        <w:spacing w:after="0" w:line="240" w:lineRule="auto"/>
        <w:rPr>
          <w:rFonts w:ascii="Arial" w:hAnsi="Arial" w:cs="Arial"/>
          <w:sz w:val="21"/>
          <w:szCs w:val="21"/>
          <w:lang w:val="en-US"/>
        </w:rPr>
      </w:pPr>
    </w:p>
    <w:p w14:paraId="74B967F0" w14:textId="69EC7E7A"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From the user perspective, the distinction between consumer products versus special products for people with disabilities</w:t>
      </w:r>
      <w:r w:rsidR="005012CC">
        <w:rPr>
          <w:rFonts w:ascii="Arial" w:hAnsi="Arial" w:cs="Arial"/>
          <w:sz w:val="21"/>
          <w:szCs w:val="21"/>
          <w:lang w:val="en-US"/>
        </w:rPr>
        <w:t xml:space="preserve"> can be questioned</w:t>
      </w:r>
      <w:r w:rsidRPr="006A166B">
        <w:rPr>
          <w:rFonts w:ascii="Arial" w:hAnsi="Arial" w:cs="Arial"/>
          <w:sz w:val="21"/>
          <w:szCs w:val="21"/>
          <w:lang w:val="en-US"/>
        </w:rPr>
        <w:t>. 10 to 15 years ago, no one would have predicted that smartphones would become the most used technology for people who are blind or visually impaired. Now it seems the smartphone might serve as</w:t>
      </w:r>
      <w:r w:rsidR="00767C3F">
        <w:rPr>
          <w:rFonts w:ascii="Arial" w:hAnsi="Arial" w:cs="Arial"/>
          <w:sz w:val="21"/>
          <w:szCs w:val="21"/>
          <w:lang w:val="en-US"/>
        </w:rPr>
        <w:t xml:space="preserve"> a</w:t>
      </w:r>
      <w:r w:rsidRPr="006A166B">
        <w:rPr>
          <w:rFonts w:ascii="Arial" w:hAnsi="Arial" w:cs="Arial"/>
          <w:sz w:val="21"/>
          <w:szCs w:val="21"/>
          <w:lang w:val="en-US"/>
        </w:rPr>
        <w:t xml:space="preserve"> universal remote control to access all other devices and services – if the technologies are interoperable. </w:t>
      </w:r>
      <w:r w:rsidR="009D589D">
        <w:rPr>
          <w:rFonts w:ascii="Arial" w:hAnsi="Arial" w:cs="Arial"/>
          <w:sz w:val="21"/>
          <w:szCs w:val="21"/>
          <w:lang w:val="en-US"/>
        </w:rPr>
        <w:t>Many p</w:t>
      </w:r>
      <w:r w:rsidRPr="006A166B">
        <w:rPr>
          <w:rFonts w:ascii="Arial" w:hAnsi="Arial" w:cs="Arial"/>
          <w:sz w:val="21"/>
          <w:szCs w:val="21"/>
          <w:lang w:val="en-US"/>
        </w:rPr>
        <w:t>eople with disabilities indeed would prefer to access the smart home and the range of connected devices via the personal</w:t>
      </w:r>
      <w:r w:rsidR="00494A23">
        <w:rPr>
          <w:rFonts w:ascii="Arial" w:hAnsi="Arial" w:cs="Arial"/>
          <w:sz w:val="21"/>
          <w:szCs w:val="21"/>
          <w:lang w:val="en-US"/>
        </w:rPr>
        <w:t>,</w:t>
      </w:r>
      <w:r w:rsidRPr="006A166B">
        <w:rPr>
          <w:rFonts w:ascii="Arial" w:hAnsi="Arial" w:cs="Arial"/>
          <w:sz w:val="21"/>
          <w:szCs w:val="21"/>
          <w:lang w:val="en-US"/>
        </w:rPr>
        <w:t xml:space="preserve"> accessible smartphone. </w:t>
      </w:r>
    </w:p>
    <w:p w14:paraId="07D54DCA" w14:textId="77777777" w:rsidR="006A166B" w:rsidRPr="006A166B" w:rsidRDefault="006A166B" w:rsidP="006A166B">
      <w:pPr>
        <w:spacing w:after="0" w:line="240" w:lineRule="auto"/>
        <w:rPr>
          <w:rFonts w:ascii="Arial" w:hAnsi="Arial" w:cs="Arial"/>
          <w:sz w:val="21"/>
          <w:szCs w:val="21"/>
          <w:lang w:val="en-US"/>
        </w:rPr>
      </w:pPr>
    </w:p>
    <w:p w14:paraId="1D15EB91" w14:textId="5102333E" w:rsidR="006A166B" w:rsidRPr="006A166B" w:rsidRDefault="00F166A3" w:rsidP="006A166B">
      <w:pPr>
        <w:spacing w:after="0" w:line="240" w:lineRule="auto"/>
        <w:rPr>
          <w:rFonts w:ascii="Arial" w:hAnsi="Arial" w:cs="Arial"/>
          <w:sz w:val="21"/>
          <w:szCs w:val="21"/>
          <w:lang w:val="en-US"/>
        </w:rPr>
      </w:pPr>
      <w:r w:rsidRPr="006A166B">
        <w:rPr>
          <w:rFonts w:ascii="Arial" w:hAnsi="Arial" w:cs="Arial"/>
          <w:sz w:val="21"/>
          <w:szCs w:val="21"/>
          <w:lang w:val="en-US"/>
        </w:rPr>
        <w:t>Additionally,</w:t>
      </w:r>
      <w:r w:rsidR="006A166B" w:rsidRPr="006A166B">
        <w:rPr>
          <w:rFonts w:ascii="Arial" w:hAnsi="Arial" w:cs="Arial"/>
          <w:sz w:val="21"/>
          <w:szCs w:val="21"/>
          <w:lang w:val="en-US"/>
        </w:rPr>
        <w:t xml:space="preserve"> though, we need to provide education and training to people with disabilities and our senior users. Accessible and assistive technologies are great, yet training on their use is still necessary. As is the affordability of these solutions. Not even in developed countries every user can afford to spend 500 to 1000</w:t>
      </w:r>
      <w:r w:rsidR="00113E9B">
        <w:rPr>
          <w:rFonts w:ascii="Arial" w:hAnsi="Arial" w:cs="Arial"/>
          <w:sz w:val="21"/>
          <w:szCs w:val="21"/>
          <w:lang w:val="en-US"/>
        </w:rPr>
        <w:t>€</w:t>
      </w:r>
      <w:r w:rsidR="006A166B" w:rsidRPr="006A166B">
        <w:rPr>
          <w:rFonts w:ascii="Arial" w:hAnsi="Arial" w:cs="Arial"/>
          <w:sz w:val="21"/>
          <w:szCs w:val="21"/>
          <w:lang w:val="en-US"/>
        </w:rPr>
        <w:t xml:space="preserve"> for technology, much less so in developing countries where the need for accessible and assistive technologies is even greater. </w:t>
      </w:r>
    </w:p>
    <w:p w14:paraId="6CFAE174" w14:textId="77777777" w:rsidR="006A166B" w:rsidRPr="006A166B" w:rsidRDefault="006A166B" w:rsidP="006A166B">
      <w:pPr>
        <w:spacing w:after="0" w:line="240" w:lineRule="auto"/>
        <w:rPr>
          <w:rFonts w:ascii="Arial" w:hAnsi="Arial" w:cs="Arial"/>
          <w:sz w:val="21"/>
          <w:szCs w:val="21"/>
          <w:lang w:val="en-US"/>
        </w:rPr>
      </w:pPr>
    </w:p>
    <w:p w14:paraId="28B4E59D" w14:textId="77777777" w:rsidR="00FD51F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From a policy maker</w:t>
      </w:r>
      <w:r w:rsidR="000F40A7">
        <w:rPr>
          <w:rFonts w:ascii="Arial" w:hAnsi="Arial" w:cs="Arial"/>
          <w:sz w:val="21"/>
          <w:szCs w:val="21"/>
          <w:lang w:val="en-US"/>
        </w:rPr>
        <w:t>’s</w:t>
      </w:r>
      <w:r w:rsidRPr="006A166B">
        <w:rPr>
          <w:rFonts w:ascii="Arial" w:hAnsi="Arial" w:cs="Arial"/>
          <w:sz w:val="21"/>
          <w:szCs w:val="21"/>
          <w:lang w:val="en-US"/>
        </w:rPr>
        <w:t xml:space="preserve"> perspective, we should not fight over definitions but focus on the outcomes for the users, enabling people with disabilities to get the products and services they need to lead a dignified and independent life. The WHO aims at developing evidence-based recommendations for policy development</w:t>
      </w:r>
      <w:r w:rsidR="00B66E9C">
        <w:rPr>
          <w:rFonts w:ascii="Arial" w:hAnsi="Arial" w:cs="Arial"/>
          <w:sz w:val="21"/>
          <w:szCs w:val="21"/>
          <w:lang w:val="en-US"/>
        </w:rPr>
        <w:t>,</w:t>
      </w:r>
      <w:r w:rsidRPr="006A166B">
        <w:rPr>
          <w:rFonts w:ascii="Arial" w:hAnsi="Arial" w:cs="Arial"/>
          <w:sz w:val="21"/>
          <w:szCs w:val="21"/>
          <w:lang w:val="en-US"/>
        </w:rPr>
        <w:t xml:space="preserve"> and </w:t>
      </w:r>
      <w:r w:rsidR="00B66E9C">
        <w:rPr>
          <w:rFonts w:ascii="Arial" w:hAnsi="Arial" w:cs="Arial"/>
          <w:sz w:val="21"/>
          <w:szCs w:val="21"/>
          <w:lang w:val="en-US"/>
        </w:rPr>
        <w:t xml:space="preserve">at </w:t>
      </w:r>
      <w:r w:rsidRPr="006A166B">
        <w:rPr>
          <w:rFonts w:ascii="Arial" w:hAnsi="Arial" w:cs="Arial"/>
          <w:sz w:val="21"/>
          <w:szCs w:val="21"/>
          <w:lang w:val="en-US"/>
        </w:rPr>
        <w:t xml:space="preserve">supporting countries in implementing those recommendations. In this vein, the WHO just published </w:t>
      </w:r>
      <w:r w:rsidRPr="006A166B">
        <w:rPr>
          <w:rFonts w:ascii="Arial" w:hAnsi="Arial" w:cs="Arial"/>
          <w:i/>
          <w:sz w:val="21"/>
          <w:szCs w:val="21"/>
          <w:lang w:val="en-US"/>
        </w:rPr>
        <w:t>The Global Report on Assistive Technology</w:t>
      </w:r>
      <w:r w:rsidRPr="006A166B">
        <w:rPr>
          <w:rFonts w:ascii="Arial" w:hAnsi="Arial" w:cs="Arial"/>
          <w:sz w:val="21"/>
          <w:szCs w:val="21"/>
          <w:lang w:val="en-US"/>
        </w:rPr>
        <w:t xml:space="preserve"> which contains new evidence on the needs for and barriers to accessing AT worldwide. </w:t>
      </w:r>
    </w:p>
    <w:p w14:paraId="37A1FF62" w14:textId="0A03F84C" w:rsidR="00FD51FB" w:rsidRDefault="00FD51FB" w:rsidP="006A166B">
      <w:pPr>
        <w:spacing w:after="0" w:line="240" w:lineRule="auto"/>
        <w:rPr>
          <w:rFonts w:ascii="Arial" w:hAnsi="Arial" w:cs="Arial"/>
          <w:sz w:val="21"/>
          <w:szCs w:val="21"/>
          <w:lang w:val="en-US"/>
        </w:rPr>
      </w:pPr>
    </w:p>
    <w:p w14:paraId="504A7C42" w14:textId="6A88AB8C" w:rsidR="006A166B" w:rsidRPr="00FD51FB" w:rsidRDefault="00FD51FB" w:rsidP="006A166B">
      <w:pPr>
        <w:spacing w:after="0" w:line="240" w:lineRule="auto"/>
        <w:rPr>
          <w:rFonts w:ascii="Arial" w:hAnsi="Arial" w:cs="Arial"/>
          <w:color w:val="4472C4" w:themeColor="accent1"/>
          <w:sz w:val="21"/>
          <w:szCs w:val="21"/>
          <w:lang w:val="en-US"/>
        </w:rPr>
      </w:pPr>
      <w:r w:rsidRPr="00FD51FB">
        <w:rPr>
          <w:rFonts w:ascii="Arial" w:hAnsi="Arial" w:cs="Arial"/>
          <w:color w:val="4472C4" w:themeColor="accent1"/>
          <w:sz w:val="21"/>
          <w:szCs w:val="21"/>
          <w:lang w:val="en-US"/>
        </w:rPr>
        <w:t xml:space="preserve">Similar to the WHO essential medicines list (EML), the WHO’s </w:t>
      </w:r>
      <w:r w:rsidRPr="00FD51FB">
        <w:rPr>
          <w:rFonts w:ascii="Arial" w:hAnsi="Arial" w:cs="Arial"/>
          <w:i/>
          <w:color w:val="4472C4" w:themeColor="accent1"/>
          <w:sz w:val="21"/>
          <w:szCs w:val="21"/>
          <w:lang w:val="en-US"/>
        </w:rPr>
        <w:t>Priority Assistive Products List (APL)</w:t>
      </w:r>
      <w:r w:rsidRPr="00FD51FB">
        <w:rPr>
          <w:rFonts w:ascii="Arial" w:hAnsi="Arial" w:cs="Arial"/>
          <w:color w:val="4472C4" w:themeColor="accent1"/>
          <w:sz w:val="21"/>
          <w:szCs w:val="21"/>
          <w:lang w:val="en-US"/>
        </w:rPr>
        <w:t xml:space="preserve"> furthermore aims to provide a model list of products based on global experience of population needs, impact for users and their families as well as cost. Countries may adapt the WHO</w:t>
      </w:r>
      <w:r>
        <w:rPr>
          <w:rFonts w:ascii="Arial" w:hAnsi="Arial" w:cs="Arial"/>
          <w:color w:val="4472C4" w:themeColor="accent1"/>
          <w:sz w:val="21"/>
          <w:szCs w:val="21"/>
          <w:lang w:val="en-US"/>
        </w:rPr>
        <w:t>’s</w:t>
      </w:r>
      <w:r w:rsidRPr="00FD51FB">
        <w:rPr>
          <w:rFonts w:ascii="Arial" w:hAnsi="Arial" w:cs="Arial"/>
          <w:color w:val="4472C4" w:themeColor="accent1"/>
          <w:sz w:val="21"/>
          <w:szCs w:val="21"/>
          <w:lang w:val="en-US"/>
        </w:rPr>
        <w:t xml:space="preserve"> </w:t>
      </w:r>
      <w:r w:rsidRPr="00FD51FB">
        <w:rPr>
          <w:rFonts w:ascii="Arial" w:hAnsi="Arial" w:cs="Arial"/>
          <w:i/>
          <w:color w:val="4472C4" w:themeColor="accent1"/>
          <w:sz w:val="21"/>
          <w:szCs w:val="21"/>
          <w:lang w:val="en-US"/>
        </w:rPr>
        <w:t>Priority Assistive Products List</w:t>
      </w:r>
      <w:r w:rsidRPr="00FD51FB">
        <w:rPr>
          <w:rFonts w:ascii="Arial" w:hAnsi="Arial" w:cs="Arial"/>
          <w:color w:val="4472C4" w:themeColor="accent1"/>
          <w:sz w:val="21"/>
          <w:szCs w:val="21"/>
          <w:lang w:val="en-US"/>
        </w:rPr>
        <w:t xml:space="preserve"> according to the</w:t>
      </w:r>
      <w:r>
        <w:rPr>
          <w:rFonts w:ascii="Arial" w:hAnsi="Arial" w:cs="Arial"/>
          <w:color w:val="4472C4" w:themeColor="accent1"/>
          <w:sz w:val="21"/>
          <w:szCs w:val="21"/>
          <w:lang w:val="en-US"/>
        </w:rPr>
        <w:t>ir</w:t>
      </w:r>
      <w:r w:rsidRPr="00FD51FB">
        <w:rPr>
          <w:rFonts w:ascii="Arial" w:hAnsi="Arial" w:cs="Arial"/>
          <w:color w:val="4472C4" w:themeColor="accent1"/>
          <w:sz w:val="21"/>
          <w:szCs w:val="21"/>
          <w:lang w:val="en-US"/>
        </w:rPr>
        <w:t xml:space="preserve"> local context</w:t>
      </w:r>
      <w:r>
        <w:rPr>
          <w:rFonts w:ascii="Arial" w:hAnsi="Arial" w:cs="Arial"/>
          <w:color w:val="4472C4" w:themeColor="accent1"/>
          <w:sz w:val="21"/>
          <w:szCs w:val="21"/>
          <w:lang w:val="en-US"/>
        </w:rPr>
        <w:t xml:space="preserve"> and </w:t>
      </w:r>
      <w:r w:rsidR="006A166B" w:rsidRPr="006A166B">
        <w:rPr>
          <w:rFonts w:ascii="Arial" w:hAnsi="Arial" w:cs="Arial"/>
          <w:sz w:val="21"/>
          <w:szCs w:val="21"/>
          <w:lang w:val="en-US"/>
        </w:rPr>
        <w:t xml:space="preserve">prioritize public procurement in a way to meet the majority of their populations’ needs. </w:t>
      </w:r>
      <w:r w:rsidR="0096414E">
        <w:rPr>
          <w:rFonts w:ascii="Arial" w:hAnsi="Arial" w:cs="Arial"/>
          <w:sz w:val="21"/>
          <w:szCs w:val="21"/>
          <w:lang w:val="en-US"/>
        </w:rPr>
        <w:t xml:space="preserve">Out of the 50 </w:t>
      </w:r>
      <w:r w:rsidR="009901E2">
        <w:rPr>
          <w:rFonts w:ascii="Arial" w:hAnsi="Arial" w:cs="Arial"/>
          <w:sz w:val="21"/>
          <w:szCs w:val="21"/>
          <w:lang w:val="en-US"/>
        </w:rPr>
        <w:t>assistive technologies</w:t>
      </w:r>
      <w:r w:rsidR="0096414E">
        <w:rPr>
          <w:rFonts w:ascii="Arial" w:hAnsi="Arial" w:cs="Arial"/>
          <w:sz w:val="21"/>
          <w:szCs w:val="21"/>
          <w:lang w:val="en-US"/>
        </w:rPr>
        <w:t xml:space="preserve"> listed in the APL, 25</w:t>
      </w:r>
      <w:r w:rsidR="009901E2">
        <w:rPr>
          <w:rFonts w:ascii="Arial" w:hAnsi="Arial" w:cs="Arial"/>
          <w:sz w:val="21"/>
          <w:szCs w:val="21"/>
          <w:lang w:val="en-US"/>
        </w:rPr>
        <w:t xml:space="preserve"> are commonly integrated in</w:t>
      </w:r>
      <w:r w:rsidR="00F72F0A">
        <w:rPr>
          <w:rFonts w:ascii="Arial" w:hAnsi="Arial" w:cs="Arial"/>
          <w:sz w:val="21"/>
          <w:szCs w:val="21"/>
          <w:lang w:val="en-US"/>
        </w:rPr>
        <w:t>to</w:t>
      </w:r>
      <w:r w:rsidR="009901E2">
        <w:rPr>
          <w:rFonts w:ascii="Arial" w:hAnsi="Arial" w:cs="Arial"/>
          <w:sz w:val="21"/>
          <w:szCs w:val="21"/>
          <w:lang w:val="en-US"/>
        </w:rPr>
        <w:t xml:space="preserve"> accessible smartphones</w:t>
      </w:r>
      <w:r w:rsidR="007A4B05">
        <w:rPr>
          <w:rFonts w:ascii="Arial" w:hAnsi="Arial" w:cs="Arial"/>
          <w:sz w:val="21"/>
          <w:szCs w:val="21"/>
          <w:lang w:val="en-US"/>
        </w:rPr>
        <w:t>, as the 2021 research project</w:t>
      </w:r>
      <w:r>
        <w:rPr>
          <w:rStyle w:val="FootnoteReference"/>
          <w:rFonts w:ascii="Arial" w:hAnsi="Arial" w:cs="Arial"/>
          <w:sz w:val="21"/>
          <w:szCs w:val="21"/>
          <w:lang w:val="en-US"/>
        </w:rPr>
        <w:footnoteReference w:id="4"/>
      </w:r>
      <w:r w:rsidR="007A4B05">
        <w:rPr>
          <w:rFonts w:ascii="Arial" w:hAnsi="Arial" w:cs="Arial"/>
          <w:sz w:val="21"/>
          <w:szCs w:val="21"/>
          <w:lang w:val="en-US"/>
        </w:rPr>
        <w:t xml:space="preserve"> showed. </w:t>
      </w:r>
    </w:p>
    <w:p w14:paraId="548DC34C" w14:textId="77777777" w:rsidR="006A166B" w:rsidRPr="006A166B" w:rsidRDefault="006A166B" w:rsidP="006A166B">
      <w:pPr>
        <w:spacing w:after="0" w:line="240" w:lineRule="auto"/>
        <w:rPr>
          <w:rFonts w:ascii="Arial" w:hAnsi="Arial" w:cs="Arial"/>
          <w:sz w:val="21"/>
          <w:szCs w:val="21"/>
          <w:lang w:val="en-US"/>
        </w:rPr>
      </w:pPr>
    </w:p>
    <w:p w14:paraId="3553D3F4" w14:textId="457D8643" w:rsidR="00B30F6B" w:rsidRPr="00037B18"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In this context, the WHO is looking at both conventional AT and digital solutions in terms of their effectiveness in terms of money, time, and overall resources needed.</w:t>
      </w:r>
      <w:r w:rsidRPr="00037B18">
        <w:rPr>
          <w:rFonts w:ascii="Arial" w:hAnsi="Arial" w:cs="Arial"/>
          <w:color w:val="4472C4" w:themeColor="accent1"/>
          <w:sz w:val="21"/>
          <w:szCs w:val="21"/>
          <w:lang w:val="en-US"/>
        </w:rPr>
        <w:t xml:space="preserve"> Digital AT is not only about the product</w:t>
      </w:r>
      <w:r w:rsidR="00037B18" w:rsidRPr="00037B18">
        <w:rPr>
          <w:rFonts w:ascii="Arial" w:hAnsi="Arial" w:cs="Arial"/>
          <w:color w:val="4472C4" w:themeColor="accent1"/>
          <w:sz w:val="21"/>
          <w:szCs w:val="21"/>
          <w:lang w:val="en-US"/>
        </w:rPr>
        <w:t xml:space="preserve">, it </w:t>
      </w:r>
      <w:r w:rsidR="00037B18" w:rsidRPr="00037B18">
        <w:rPr>
          <w:rFonts w:ascii="Arial" w:hAnsi="Arial" w:cs="Arial"/>
          <w:color w:val="4472C4" w:themeColor="accent1"/>
          <w:sz w:val="21"/>
          <w:szCs w:val="21"/>
        </w:rPr>
        <w:t xml:space="preserve">is the digital application of organized knowledge and skills related to assistive products, including systems and services. </w:t>
      </w:r>
      <w:r w:rsidR="00037B18">
        <w:rPr>
          <w:rFonts w:ascii="Arial" w:hAnsi="Arial" w:cs="Arial"/>
          <w:sz w:val="21"/>
          <w:szCs w:val="21"/>
        </w:rPr>
        <w:t xml:space="preserve">Digital AT is also </w:t>
      </w:r>
      <w:r w:rsidRPr="006A166B">
        <w:rPr>
          <w:rFonts w:ascii="Arial" w:hAnsi="Arial" w:cs="Arial"/>
          <w:sz w:val="21"/>
          <w:szCs w:val="21"/>
          <w:lang w:val="en-US"/>
        </w:rPr>
        <w:t>about platforms for service provision and how the ICT infrastructure can be leveraged to train the workforce on how to better provide AT to people with disabilities</w:t>
      </w:r>
      <w:r w:rsidR="00037B18">
        <w:rPr>
          <w:rFonts w:ascii="Arial" w:hAnsi="Arial" w:cs="Arial"/>
          <w:sz w:val="21"/>
          <w:szCs w:val="21"/>
          <w:lang w:val="en-US"/>
        </w:rPr>
        <w:t xml:space="preserve">, </w:t>
      </w:r>
      <w:r w:rsidR="00037B18" w:rsidRPr="00037B18">
        <w:rPr>
          <w:rFonts w:ascii="Arial" w:hAnsi="Arial" w:cs="Arial"/>
          <w:color w:val="4472C4" w:themeColor="accent1"/>
          <w:sz w:val="21"/>
          <w:szCs w:val="21"/>
          <w:lang w:val="en-US"/>
        </w:rPr>
        <w:t>o</w:t>
      </w:r>
      <w:proofErr w:type="spellStart"/>
      <w:r w:rsidR="00B30F6B" w:rsidRPr="00037B18">
        <w:rPr>
          <w:rFonts w:ascii="Arial" w:hAnsi="Arial" w:cs="Arial"/>
          <w:color w:val="4472C4" w:themeColor="accent1"/>
          <w:sz w:val="21"/>
          <w:szCs w:val="21"/>
        </w:rPr>
        <w:t>lder</w:t>
      </w:r>
      <w:proofErr w:type="spellEnd"/>
      <w:r w:rsidR="00B30F6B" w:rsidRPr="00037B18">
        <w:rPr>
          <w:rFonts w:ascii="Arial" w:hAnsi="Arial" w:cs="Arial"/>
          <w:color w:val="4472C4" w:themeColor="accent1"/>
          <w:sz w:val="21"/>
          <w:szCs w:val="21"/>
        </w:rPr>
        <w:t xml:space="preserve"> people and people living with chronic conditions</w:t>
      </w:r>
      <w:r w:rsidR="00B30F6B" w:rsidRPr="00B30F6B">
        <w:rPr>
          <w:rFonts w:ascii="Arial" w:hAnsi="Arial" w:cs="Arial"/>
          <w:color w:val="4472C4" w:themeColor="accent1"/>
          <w:sz w:val="21"/>
          <w:szCs w:val="21"/>
        </w:rPr>
        <w:t>.</w:t>
      </w:r>
    </w:p>
    <w:p w14:paraId="7A15ECA1" w14:textId="3623E71B" w:rsidR="00180C78" w:rsidRDefault="00180C78" w:rsidP="006A166B">
      <w:pPr>
        <w:spacing w:after="0" w:line="240" w:lineRule="auto"/>
        <w:rPr>
          <w:rFonts w:ascii="Arial" w:hAnsi="Arial" w:cs="Arial"/>
          <w:color w:val="4472C4" w:themeColor="accent1"/>
          <w:sz w:val="21"/>
          <w:szCs w:val="21"/>
          <w:lang w:val="en-US"/>
        </w:rPr>
      </w:pPr>
    </w:p>
    <w:p w14:paraId="1528527D" w14:textId="2DAA6768" w:rsidR="006A166B" w:rsidRPr="002E6C33" w:rsidRDefault="00180C78" w:rsidP="006A166B">
      <w:pPr>
        <w:spacing w:after="0" w:line="240" w:lineRule="auto"/>
        <w:rPr>
          <w:rFonts w:ascii="Arial" w:hAnsi="Arial" w:cs="Arial"/>
          <w:color w:val="4472C4" w:themeColor="accent1"/>
          <w:sz w:val="21"/>
          <w:szCs w:val="21"/>
          <w:lang w:val="en-US"/>
        </w:rPr>
      </w:pPr>
      <w:r w:rsidRPr="00180C78">
        <w:rPr>
          <w:rFonts w:ascii="Arial" w:hAnsi="Arial" w:cs="Arial"/>
          <w:color w:val="4472C4" w:themeColor="accent1"/>
          <w:sz w:val="21"/>
          <w:szCs w:val="21"/>
          <w:lang w:val="en-US"/>
        </w:rPr>
        <w:t>Digital assistive technology is the digital application of organized knowledge and skills related to assistive products, including systems and services. Digital assistive technology is a subset of assistive technology.</w:t>
      </w:r>
      <w:bookmarkStart w:id="0" w:name="_GoBack"/>
      <w:bookmarkEnd w:id="0"/>
    </w:p>
    <w:p w14:paraId="1552CFA0" w14:textId="77777777" w:rsidR="00B30F6B" w:rsidRPr="006A166B" w:rsidRDefault="00B30F6B" w:rsidP="006A166B">
      <w:pPr>
        <w:spacing w:after="0" w:line="240" w:lineRule="auto"/>
        <w:rPr>
          <w:rFonts w:ascii="Arial" w:hAnsi="Arial" w:cs="Arial"/>
          <w:sz w:val="21"/>
          <w:szCs w:val="21"/>
          <w:lang w:val="en-US"/>
        </w:rPr>
      </w:pPr>
    </w:p>
    <w:p w14:paraId="46F1330B" w14:textId="536A41E5" w:rsidR="006A166B" w:rsidRPr="006A166B" w:rsidRDefault="00DC4B05" w:rsidP="006A166B">
      <w:pPr>
        <w:spacing w:after="0" w:line="240" w:lineRule="auto"/>
        <w:rPr>
          <w:rFonts w:ascii="Arial" w:hAnsi="Arial" w:cs="Arial"/>
          <w:sz w:val="21"/>
          <w:szCs w:val="21"/>
          <w:lang w:val="en-US"/>
        </w:rPr>
      </w:pPr>
      <w:r>
        <w:rPr>
          <w:rFonts w:ascii="Arial" w:hAnsi="Arial" w:cs="Arial"/>
          <w:sz w:val="21"/>
          <w:szCs w:val="21"/>
          <w:lang w:val="en-US"/>
        </w:rPr>
        <w:t>The</w:t>
      </w:r>
      <w:r w:rsidR="006A166B" w:rsidRPr="006A166B">
        <w:rPr>
          <w:rFonts w:ascii="Arial" w:hAnsi="Arial" w:cs="Arial"/>
          <w:sz w:val="21"/>
          <w:szCs w:val="21"/>
          <w:lang w:val="en-US"/>
        </w:rPr>
        <w:t xml:space="preserve"> accessibility built into the major technology platforms has been a game</w:t>
      </w:r>
      <w:r w:rsidR="00B2512A">
        <w:rPr>
          <w:rFonts w:ascii="Arial" w:hAnsi="Arial" w:cs="Arial"/>
          <w:sz w:val="21"/>
          <w:szCs w:val="21"/>
          <w:lang w:val="en-US"/>
        </w:rPr>
        <w:t>-</w:t>
      </w:r>
      <w:r w:rsidR="006A166B" w:rsidRPr="006A166B">
        <w:rPr>
          <w:rFonts w:ascii="Arial" w:hAnsi="Arial" w:cs="Arial"/>
          <w:sz w:val="21"/>
          <w:szCs w:val="21"/>
          <w:lang w:val="en-US"/>
        </w:rPr>
        <w:t>changer and has accelerated the general use of technology also by people with disabilities. Functions like voice</w:t>
      </w:r>
      <w:r w:rsidR="006E3E87">
        <w:rPr>
          <w:rFonts w:ascii="Arial" w:hAnsi="Arial" w:cs="Arial"/>
          <w:sz w:val="21"/>
          <w:szCs w:val="21"/>
          <w:lang w:val="en-US"/>
        </w:rPr>
        <w:t xml:space="preserve"> </w:t>
      </w:r>
      <w:r w:rsidR="006A166B" w:rsidRPr="006A166B">
        <w:rPr>
          <w:rFonts w:ascii="Arial" w:hAnsi="Arial" w:cs="Arial"/>
          <w:sz w:val="21"/>
          <w:szCs w:val="21"/>
          <w:lang w:val="en-US"/>
        </w:rPr>
        <w:t xml:space="preserve">assistance and simple smart home technology have transformed the perception of their relationship with technology and possibly even their personal life goals for and beyond </w:t>
      </w:r>
      <w:r w:rsidR="006A166B" w:rsidRPr="006A166B">
        <w:rPr>
          <w:rFonts w:ascii="Arial" w:hAnsi="Arial" w:cs="Arial"/>
          <w:sz w:val="21"/>
          <w:szCs w:val="21"/>
          <w:lang w:val="en-US"/>
        </w:rPr>
        <w:lastRenderedPageBreak/>
        <w:t xml:space="preserve">independent living. Building on this, we need to trust people with disabilities to be the experts in their own lives and about their needs. </w:t>
      </w:r>
    </w:p>
    <w:p w14:paraId="2E3FF83A" w14:textId="77777777" w:rsidR="006A166B" w:rsidRPr="006A166B" w:rsidRDefault="006A166B" w:rsidP="006A166B">
      <w:pPr>
        <w:spacing w:after="0" w:line="240" w:lineRule="auto"/>
        <w:rPr>
          <w:rFonts w:ascii="Arial" w:hAnsi="Arial" w:cs="Arial"/>
          <w:sz w:val="21"/>
          <w:szCs w:val="21"/>
          <w:lang w:val="en-US"/>
        </w:rPr>
      </w:pPr>
    </w:p>
    <w:p w14:paraId="67228AA1" w14:textId="4DB1A173"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 xml:space="preserve">One such new approach is the Assistive Technology Passport concept, developed by Enable Ireland and </w:t>
      </w:r>
      <w:proofErr w:type="spellStart"/>
      <w:r w:rsidRPr="006A166B">
        <w:rPr>
          <w:rFonts w:ascii="Arial" w:hAnsi="Arial" w:cs="Arial"/>
          <w:sz w:val="21"/>
          <w:szCs w:val="21"/>
          <w:lang w:val="en-US"/>
        </w:rPr>
        <w:t>FreedomTech</w:t>
      </w:r>
      <w:proofErr w:type="spellEnd"/>
      <w:r w:rsidRPr="006A166B">
        <w:rPr>
          <w:rFonts w:ascii="Arial" w:hAnsi="Arial" w:cs="Arial"/>
          <w:sz w:val="21"/>
          <w:szCs w:val="21"/>
          <w:lang w:val="en-US"/>
        </w:rPr>
        <w:t xml:space="preserve"> as a potential solution to address the current absence of control on the part of individuals with disabilit</w:t>
      </w:r>
      <w:r w:rsidR="0064121A">
        <w:rPr>
          <w:rFonts w:ascii="Arial" w:hAnsi="Arial" w:cs="Arial"/>
          <w:sz w:val="21"/>
          <w:szCs w:val="21"/>
          <w:lang w:val="en-US"/>
        </w:rPr>
        <w:t>ies</w:t>
      </w:r>
      <w:r w:rsidRPr="006A166B">
        <w:rPr>
          <w:rFonts w:ascii="Arial" w:hAnsi="Arial" w:cs="Arial"/>
          <w:sz w:val="21"/>
          <w:szCs w:val="21"/>
          <w:lang w:val="en-US"/>
        </w:rPr>
        <w:t xml:space="preserve"> and older people in navigating a path towards independence through the use of accessible and assistive technologies. The AT Passport is a digital record of AT needs that seeks to ensure the provision of assistive technology to people with disabilities and older people in an effective, streamlined</w:t>
      </w:r>
      <w:r w:rsidR="009C64CD">
        <w:rPr>
          <w:rFonts w:ascii="Arial" w:hAnsi="Arial" w:cs="Arial"/>
          <w:sz w:val="21"/>
          <w:szCs w:val="21"/>
          <w:lang w:val="en-US"/>
        </w:rPr>
        <w:t>,</w:t>
      </w:r>
      <w:r w:rsidRPr="006A166B">
        <w:rPr>
          <w:rFonts w:ascii="Arial" w:hAnsi="Arial" w:cs="Arial"/>
          <w:sz w:val="21"/>
          <w:szCs w:val="21"/>
          <w:lang w:val="en-US"/>
        </w:rPr>
        <w:t xml:space="preserve"> and efficient manner. It places the owner or consumer of the assistive technology at the heart of the process. </w:t>
      </w:r>
    </w:p>
    <w:p w14:paraId="332D4038" w14:textId="77777777" w:rsidR="006A166B" w:rsidRPr="006A166B" w:rsidRDefault="006A166B" w:rsidP="006A166B">
      <w:pPr>
        <w:spacing w:after="0" w:line="240" w:lineRule="auto"/>
        <w:rPr>
          <w:rFonts w:ascii="Arial" w:hAnsi="Arial" w:cs="Arial"/>
          <w:sz w:val="21"/>
          <w:szCs w:val="21"/>
          <w:lang w:val="en-US"/>
        </w:rPr>
      </w:pPr>
    </w:p>
    <w:p w14:paraId="6A05763D" w14:textId="2A716CD3"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 xml:space="preserve">So much mainstream technology is accessible now and hopefully even more in the future, factoring in emerging technologies such as </w:t>
      </w:r>
      <w:r w:rsidR="003F553A">
        <w:rPr>
          <w:rFonts w:ascii="Arial" w:hAnsi="Arial" w:cs="Arial"/>
          <w:sz w:val="21"/>
          <w:szCs w:val="21"/>
          <w:lang w:val="en-US"/>
        </w:rPr>
        <w:t>artificial intelligence (</w:t>
      </w:r>
      <w:r w:rsidRPr="006A166B">
        <w:rPr>
          <w:rFonts w:ascii="Arial" w:hAnsi="Arial" w:cs="Arial"/>
          <w:sz w:val="21"/>
          <w:szCs w:val="21"/>
          <w:lang w:val="en-US"/>
        </w:rPr>
        <w:t>AI</w:t>
      </w:r>
      <w:r w:rsidR="003F553A">
        <w:rPr>
          <w:rFonts w:ascii="Arial" w:hAnsi="Arial" w:cs="Arial"/>
          <w:sz w:val="21"/>
          <w:szCs w:val="21"/>
          <w:lang w:val="en-US"/>
        </w:rPr>
        <w:t>)</w:t>
      </w:r>
      <w:r w:rsidRPr="006A166B">
        <w:rPr>
          <w:rFonts w:ascii="Arial" w:hAnsi="Arial" w:cs="Arial"/>
          <w:sz w:val="21"/>
          <w:szCs w:val="21"/>
          <w:lang w:val="en-US"/>
        </w:rPr>
        <w:t xml:space="preserve"> and autonomous vehicles. And with this, we need to set our sights much higher than </w:t>
      </w:r>
      <w:r w:rsidR="003F553A">
        <w:rPr>
          <w:rFonts w:ascii="Arial" w:hAnsi="Arial" w:cs="Arial"/>
          <w:sz w:val="21"/>
          <w:szCs w:val="21"/>
          <w:lang w:val="en-US"/>
        </w:rPr>
        <w:t xml:space="preserve">for example </w:t>
      </w:r>
      <w:r w:rsidRPr="006A166B">
        <w:rPr>
          <w:rFonts w:ascii="Arial" w:hAnsi="Arial" w:cs="Arial"/>
          <w:sz w:val="21"/>
          <w:szCs w:val="21"/>
          <w:lang w:val="en-US"/>
        </w:rPr>
        <w:t>just having a screen</w:t>
      </w:r>
      <w:r w:rsidR="001E7416">
        <w:rPr>
          <w:rFonts w:ascii="Arial" w:hAnsi="Arial" w:cs="Arial"/>
          <w:sz w:val="21"/>
          <w:szCs w:val="21"/>
          <w:lang w:val="en-US"/>
        </w:rPr>
        <w:t xml:space="preserve"> </w:t>
      </w:r>
      <w:r w:rsidRPr="006A166B">
        <w:rPr>
          <w:rFonts w:ascii="Arial" w:hAnsi="Arial" w:cs="Arial"/>
          <w:sz w:val="21"/>
          <w:szCs w:val="21"/>
          <w:lang w:val="en-US"/>
        </w:rPr>
        <w:t xml:space="preserve">reader built-in. </w:t>
      </w:r>
      <w:r w:rsidR="003F553A" w:rsidRPr="006A166B">
        <w:rPr>
          <w:rFonts w:ascii="Arial" w:hAnsi="Arial" w:cs="Arial"/>
          <w:sz w:val="21"/>
          <w:szCs w:val="21"/>
          <w:lang w:val="en-US"/>
        </w:rPr>
        <w:t>Also,</w:t>
      </w:r>
      <w:r w:rsidRPr="006A166B">
        <w:rPr>
          <w:rFonts w:ascii="Arial" w:hAnsi="Arial" w:cs="Arial"/>
          <w:sz w:val="21"/>
          <w:szCs w:val="21"/>
          <w:lang w:val="en-US"/>
        </w:rPr>
        <w:t xml:space="preserve"> with mainstream products having such impressive accessibility built-in, it becomes harder to justify the high costs of AT. </w:t>
      </w:r>
      <w:r w:rsidR="003F553A" w:rsidRPr="006A166B">
        <w:rPr>
          <w:rFonts w:ascii="Arial" w:hAnsi="Arial" w:cs="Arial"/>
          <w:sz w:val="21"/>
          <w:szCs w:val="21"/>
          <w:lang w:val="en-US"/>
        </w:rPr>
        <w:t>Obviously,</w:t>
      </w:r>
      <w:r w:rsidRPr="006A166B">
        <w:rPr>
          <w:rFonts w:ascii="Arial" w:hAnsi="Arial" w:cs="Arial"/>
          <w:sz w:val="21"/>
          <w:szCs w:val="21"/>
          <w:lang w:val="en-US"/>
        </w:rPr>
        <w:t xml:space="preserve"> there will always be the need for some specialized technology, but many people with disabilities are well served with accessible technology. And looking at our demographics, we will </w:t>
      </w:r>
      <w:r w:rsidR="003F553A">
        <w:rPr>
          <w:rFonts w:ascii="Arial" w:hAnsi="Arial" w:cs="Arial"/>
          <w:sz w:val="21"/>
          <w:szCs w:val="21"/>
          <w:lang w:val="en-US"/>
        </w:rPr>
        <w:t xml:space="preserve">have to </w:t>
      </w:r>
      <w:r w:rsidRPr="006A166B">
        <w:rPr>
          <w:rFonts w:ascii="Arial" w:hAnsi="Arial" w:cs="Arial"/>
          <w:sz w:val="21"/>
          <w:szCs w:val="21"/>
          <w:lang w:val="en-US"/>
        </w:rPr>
        <w:t xml:space="preserve">rely on accessible mainstream technology to enable our seniors to continue living independently </w:t>
      </w:r>
      <w:r w:rsidR="005E0A41">
        <w:rPr>
          <w:rFonts w:ascii="Arial" w:hAnsi="Arial" w:cs="Arial"/>
          <w:sz w:val="21"/>
          <w:szCs w:val="21"/>
          <w:lang w:val="en-US"/>
        </w:rPr>
        <w:t xml:space="preserve">for </w:t>
      </w:r>
      <w:r w:rsidRPr="006A166B">
        <w:rPr>
          <w:rFonts w:ascii="Arial" w:hAnsi="Arial" w:cs="Arial"/>
          <w:sz w:val="21"/>
          <w:szCs w:val="21"/>
          <w:lang w:val="en-US"/>
        </w:rPr>
        <w:t xml:space="preserve">as long as possible. </w:t>
      </w:r>
    </w:p>
    <w:p w14:paraId="6E95F074" w14:textId="77777777" w:rsidR="006A166B" w:rsidRPr="006A166B" w:rsidRDefault="006A166B" w:rsidP="006A166B">
      <w:pPr>
        <w:spacing w:after="0" w:line="240" w:lineRule="auto"/>
        <w:rPr>
          <w:rFonts w:ascii="Arial" w:hAnsi="Arial" w:cs="Arial"/>
          <w:sz w:val="21"/>
          <w:szCs w:val="21"/>
          <w:lang w:val="en-US"/>
        </w:rPr>
      </w:pPr>
    </w:p>
    <w:p w14:paraId="09367A5F" w14:textId="6B9C30AE"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 xml:space="preserve">To close the circle from industry, end-user, </w:t>
      </w:r>
      <w:r w:rsidR="005853D6">
        <w:rPr>
          <w:rFonts w:ascii="Arial" w:hAnsi="Arial" w:cs="Arial"/>
          <w:sz w:val="21"/>
          <w:szCs w:val="21"/>
          <w:lang w:val="en-US"/>
        </w:rPr>
        <w:t xml:space="preserve">and </w:t>
      </w:r>
      <w:r w:rsidRPr="006A166B">
        <w:rPr>
          <w:rFonts w:ascii="Arial" w:hAnsi="Arial" w:cs="Arial"/>
          <w:sz w:val="21"/>
          <w:szCs w:val="21"/>
          <w:lang w:val="en-US"/>
        </w:rPr>
        <w:t xml:space="preserve">policy maker to academia, </w:t>
      </w:r>
      <w:r w:rsidR="00BF45DB">
        <w:rPr>
          <w:rFonts w:ascii="Arial" w:hAnsi="Arial" w:cs="Arial"/>
          <w:sz w:val="21"/>
          <w:szCs w:val="21"/>
          <w:lang w:val="en-US"/>
        </w:rPr>
        <w:t xml:space="preserve">let’s look at </w:t>
      </w:r>
      <w:r w:rsidRPr="006A166B">
        <w:rPr>
          <w:rFonts w:ascii="Arial" w:hAnsi="Arial" w:cs="Arial"/>
          <w:sz w:val="21"/>
          <w:szCs w:val="21"/>
          <w:lang w:val="en-US"/>
        </w:rPr>
        <w:t xml:space="preserve">several </w:t>
      </w:r>
      <w:r w:rsidR="00BF45DB">
        <w:rPr>
          <w:rFonts w:ascii="Arial" w:hAnsi="Arial" w:cs="Arial"/>
          <w:sz w:val="21"/>
          <w:szCs w:val="21"/>
          <w:lang w:val="en-US"/>
        </w:rPr>
        <w:t xml:space="preserve">studies done at </w:t>
      </w:r>
      <w:r w:rsidRPr="006A166B">
        <w:rPr>
          <w:rFonts w:ascii="Arial" w:hAnsi="Arial" w:cs="Arial"/>
          <w:sz w:val="21"/>
          <w:szCs w:val="21"/>
          <w:lang w:val="en-US"/>
        </w:rPr>
        <w:t xml:space="preserve">the University College Cork. Their research program was motivated by the recognition that people with disabilities use technology – whether the AT providers know about it or not. And that for the most part people with disabilities and their families were self-funding accessible technology outside the system. </w:t>
      </w:r>
    </w:p>
    <w:p w14:paraId="0A01351A" w14:textId="77777777" w:rsidR="006A166B" w:rsidRPr="006A166B" w:rsidRDefault="006A166B" w:rsidP="006A166B">
      <w:pPr>
        <w:spacing w:after="0" w:line="240" w:lineRule="auto"/>
        <w:rPr>
          <w:rFonts w:ascii="Arial" w:hAnsi="Arial" w:cs="Arial"/>
          <w:sz w:val="21"/>
          <w:szCs w:val="21"/>
          <w:lang w:val="en-US"/>
        </w:rPr>
      </w:pPr>
    </w:p>
    <w:p w14:paraId="6B5EEED3" w14:textId="72A3DABA"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 xml:space="preserve">Rather than using the usual metrics to assess technology use focusing on what deficit it was intended to equalize, </w:t>
      </w:r>
      <w:r w:rsidR="00D00E52">
        <w:rPr>
          <w:rFonts w:ascii="Arial" w:hAnsi="Arial" w:cs="Arial"/>
          <w:sz w:val="21"/>
          <w:szCs w:val="21"/>
          <w:lang w:val="en-US"/>
        </w:rPr>
        <w:t>the University College Cork</w:t>
      </w:r>
      <w:r w:rsidRPr="006A166B">
        <w:rPr>
          <w:rFonts w:ascii="Arial" w:hAnsi="Arial" w:cs="Arial"/>
          <w:sz w:val="21"/>
          <w:szCs w:val="21"/>
          <w:lang w:val="en-US"/>
        </w:rPr>
        <w:t xml:space="preserve"> team wanted to investigate the unanticipated side-benefits, as well as understand in what way people derive pleasure from the technology they are using. One of the studies looked into teenagers and young children with disabilities who were using smartphones and laptops, as well as young adults who had been provided with technology at </w:t>
      </w:r>
      <w:r w:rsidR="00D43FF5">
        <w:rPr>
          <w:rFonts w:ascii="Arial" w:hAnsi="Arial" w:cs="Arial"/>
          <w:sz w:val="21"/>
          <w:szCs w:val="21"/>
          <w:lang w:val="en-US"/>
        </w:rPr>
        <w:t xml:space="preserve">a </w:t>
      </w:r>
      <w:r w:rsidRPr="006A166B">
        <w:rPr>
          <w:rFonts w:ascii="Arial" w:hAnsi="Arial" w:cs="Arial"/>
          <w:sz w:val="21"/>
          <w:szCs w:val="21"/>
          <w:lang w:val="en-US"/>
        </w:rPr>
        <w:t xml:space="preserve">very young age, and explored the benefits of using the technology outside the traditional metrics. A more recent study is looking at the use of smart speakers, smart displays, </w:t>
      </w:r>
      <w:r w:rsidR="0091115E">
        <w:rPr>
          <w:rFonts w:ascii="Arial" w:hAnsi="Arial" w:cs="Arial"/>
          <w:sz w:val="21"/>
          <w:szCs w:val="21"/>
          <w:lang w:val="en-US"/>
        </w:rPr>
        <w:t xml:space="preserve">and </w:t>
      </w:r>
      <w:r w:rsidRPr="006A166B">
        <w:rPr>
          <w:rFonts w:ascii="Arial" w:hAnsi="Arial" w:cs="Arial"/>
          <w:sz w:val="21"/>
          <w:szCs w:val="21"/>
          <w:lang w:val="en-US"/>
        </w:rPr>
        <w:t xml:space="preserve">smart home technologies by people with disabilities, trying to assess their assistive potential. </w:t>
      </w:r>
    </w:p>
    <w:p w14:paraId="33FD0053" w14:textId="77777777" w:rsidR="006A166B" w:rsidRPr="006A166B" w:rsidRDefault="006A166B" w:rsidP="006A166B">
      <w:pPr>
        <w:spacing w:after="0" w:line="240" w:lineRule="auto"/>
        <w:rPr>
          <w:rFonts w:ascii="Arial" w:hAnsi="Arial" w:cs="Arial"/>
          <w:sz w:val="21"/>
          <w:szCs w:val="21"/>
          <w:lang w:val="en-US"/>
        </w:rPr>
      </w:pPr>
    </w:p>
    <w:p w14:paraId="0C024ABF" w14:textId="52773AC3"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The researchers also wanted to find out what the users themselves perceived as the possible risks around information privacy, data protection, autonomy</w:t>
      </w:r>
      <w:r w:rsidR="004B522A">
        <w:rPr>
          <w:rFonts w:ascii="Arial" w:hAnsi="Arial" w:cs="Arial"/>
          <w:sz w:val="21"/>
          <w:szCs w:val="21"/>
          <w:lang w:val="en-US"/>
        </w:rPr>
        <w:t>,</w:t>
      </w:r>
      <w:r w:rsidRPr="006A166B">
        <w:rPr>
          <w:rFonts w:ascii="Arial" w:hAnsi="Arial" w:cs="Arial"/>
          <w:sz w:val="21"/>
          <w:szCs w:val="21"/>
          <w:lang w:val="en-US"/>
        </w:rPr>
        <w:t xml:space="preserve"> and security, and how they balanced those risks against the perceived benefits. There was a sense that the responsibility lies with the manufacturers who need to think about their users in a more nuanced way. </w:t>
      </w:r>
    </w:p>
    <w:p w14:paraId="4EFA25A7" w14:textId="77777777" w:rsidR="006A166B" w:rsidRPr="006A166B" w:rsidRDefault="006A166B" w:rsidP="006A166B">
      <w:pPr>
        <w:spacing w:after="0" w:line="240" w:lineRule="auto"/>
        <w:rPr>
          <w:rFonts w:ascii="Arial" w:hAnsi="Arial" w:cs="Arial"/>
          <w:sz w:val="21"/>
          <w:szCs w:val="21"/>
          <w:lang w:val="en-US"/>
        </w:rPr>
      </w:pPr>
    </w:p>
    <w:p w14:paraId="6D834E35" w14:textId="4FC5F930"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The team found it liberating to look at technology beyond just providing functionality. Coming for a great part from a service background, the researchers understood that their usual approach holds the bias of systems that are to some exten</w:t>
      </w:r>
      <w:r w:rsidR="00D55F30">
        <w:rPr>
          <w:rFonts w:ascii="Arial" w:hAnsi="Arial" w:cs="Arial"/>
          <w:sz w:val="21"/>
          <w:szCs w:val="21"/>
          <w:lang w:val="en-US"/>
        </w:rPr>
        <w:t>t</w:t>
      </w:r>
      <w:r w:rsidRPr="006A166B">
        <w:rPr>
          <w:rFonts w:ascii="Arial" w:hAnsi="Arial" w:cs="Arial"/>
          <w:sz w:val="21"/>
          <w:szCs w:val="21"/>
          <w:lang w:val="en-US"/>
        </w:rPr>
        <w:t xml:space="preserve"> around how much people with disabilities are disserving the technology, and hence focusing too strongly on the aspect of cost-benefit analysis. The focus being on filling a deficit, rather than allowing people to explore and discover what the technology can do for them, in a person-</w:t>
      </w:r>
      <w:proofErr w:type="spellStart"/>
      <w:r w:rsidRPr="006A166B">
        <w:rPr>
          <w:rFonts w:ascii="Arial" w:hAnsi="Arial" w:cs="Arial"/>
          <w:sz w:val="21"/>
          <w:szCs w:val="21"/>
          <w:lang w:val="en-US"/>
        </w:rPr>
        <w:t>centred</w:t>
      </w:r>
      <w:proofErr w:type="spellEnd"/>
      <w:r w:rsidRPr="006A166B">
        <w:rPr>
          <w:rFonts w:ascii="Arial" w:hAnsi="Arial" w:cs="Arial"/>
          <w:sz w:val="21"/>
          <w:szCs w:val="21"/>
          <w:lang w:val="en-US"/>
        </w:rPr>
        <w:t xml:space="preserve"> rather than service-</w:t>
      </w:r>
      <w:proofErr w:type="spellStart"/>
      <w:r w:rsidRPr="006A166B">
        <w:rPr>
          <w:rFonts w:ascii="Arial" w:hAnsi="Arial" w:cs="Arial"/>
          <w:sz w:val="21"/>
          <w:szCs w:val="21"/>
          <w:lang w:val="en-US"/>
        </w:rPr>
        <w:t>centred</w:t>
      </w:r>
      <w:proofErr w:type="spellEnd"/>
      <w:r w:rsidRPr="006A166B">
        <w:rPr>
          <w:rFonts w:ascii="Arial" w:hAnsi="Arial" w:cs="Arial"/>
          <w:sz w:val="21"/>
          <w:szCs w:val="21"/>
          <w:lang w:val="en-US"/>
        </w:rPr>
        <w:t xml:space="preserve"> approach. </w:t>
      </w:r>
    </w:p>
    <w:p w14:paraId="615C3F96" w14:textId="77777777" w:rsidR="006A166B" w:rsidRPr="006A166B" w:rsidRDefault="006A166B" w:rsidP="006A166B">
      <w:pPr>
        <w:spacing w:after="0" w:line="240" w:lineRule="auto"/>
        <w:rPr>
          <w:rFonts w:ascii="Arial" w:hAnsi="Arial" w:cs="Arial"/>
          <w:sz w:val="21"/>
          <w:szCs w:val="21"/>
          <w:lang w:val="en-US"/>
        </w:rPr>
      </w:pPr>
    </w:p>
    <w:p w14:paraId="2B0052E8" w14:textId="73C8C793" w:rsidR="006A166B" w:rsidRP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There are examples of countries trying to shift to person-</w:t>
      </w:r>
      <w:proofErr w:type="spellStart"/>
      <w:r w:rsidRPr="006A166B">
        <w:rPr>
          <w:rFonts w:ascii="Arial" w:hAnsi="Arial" w:cs="Arial"/>
          <w:sz w:val="21"/>
          <w:szCs w:val="21"/>
          <w:lang w:val="en-US"/>
        </w:rPr>
        <w:t>centred</w:t>
      </w:r>
      <w:proofErr w:type="spellEnd"/>
      <w:r w:rsidRPr="006A166B">
        <w:rPr>
          <w:rFonts w:ascii="Arial" w:hAnsi="Arial" w:cs="Arial"/>
          <w:sz w:val="21"/>
          <w:szCs w:val="21"/>
          <w:lang w:val="en-US"/>
        </w:rPr>
        <w:t xml:space="preserve"> </w:t>
      </w:r>
      <w:r w:rsidR="00DD50B3">
        <w:rPr>
          <w:rFonts w:ascii="Arial" w:hAnsi="Arial" w:cs="Arial"/>
          <w:sz w:val="21"/>
          <w:szCs w:val="21"/>
          <w:lang w:val="en-US"/>
        </w:rPr>
        <w:t>AT delivery</w:t>
      </w:r>
      <w:r w:rsidRPr="006A166B">
        <w:rPr>
          <w:rFonts w:ascii="Arial" w:hAnsi="Arial" w:cs="Arial"/>
          <w:sz w:val="21"/>
          <w:szCs w:val="21"/>
          <w:lang w:val="en-US"/>
        </w:rPr>
        <w:t>. Israel is re-building their AT system on a digital platform with a wide range of accessible, assistive</w:t>
      </w:r>
      <w:r w:rsidR="003857CA">
        <w:rPr>
          <w:rFonts w:ascii="Arial" w:hAnsi="Arial" w:cs="Arial"/>
          <w:sz w:val="21"/>
          <w:szCs w:val="21"/>
          <w:lang w:val="en-US"/>
        </w:rPr>
        <w:t>,</w:t>
      </w:r>
      <w:r w:rsidRPr="006A166B">
        <w:rPr>
          <w:rFonts w:ascii="Arial" w:hAnsi="Arial" w:cs="Arial"/>
          <w:sz w:val="21"/>
          <w:szCs w:val="21"/>
          <w:lang w:val="en-US"/>
        </w:rPr>
        <w:t xml:space="preserve"> and mainstream solutions that the person with disabilit</w:t>
      </w:r>
      <w:r w:rsidR="00DD50B3">
        <w:rPr>
          <w:rFonts w:ascii="Arial" w:hAnsi="Arial" w:cs="Arial"/>
          <w:sz w:val="21"/>
          <w:szCs w:val="21"/>
          <w:lang w:val="en-US"/>
        </w:rPr>
        <w:t>ies</w:t>
      </w:r>
      <w:r w:rsidRPr="006A166B">
        <w:rPr>
          <w:rFonts w:ascii="Arial" w:hAnsi="Arial" w:cs="Arial"/>
          <w:sz w:val="21"/>
          <w:szCs w:val="21"/>
          <w:lang w:val="en-US"/>
        </w:rPr>
        <w:t xml:space="preserve"> can choose from – including mobile technologies. This has allowed to move from a list of 40 approved products for </w:t>
      </w:r>
      <w:r w:rsidR="00CB282B">
        <w:rPr>
          <w:rFonts w:ascii="Arial" w:hAnsi="Arial" w:cs="Arial"/>
          <w:sz w:val="21"/>
          <w:szCs w:val="21"/>
          <w:lang w:val="en-US"/>
        </w:rPr>
        <w:t xml:space="preserve">the </w:t>
      </w:r>
      <w:r w:rsidRPr="006A166B">
        <w:rPr>
          <w:rFonts w:ascii="Arial" w:hAnsi="Arial" w:cs="Arial"/>
          <w:sz w:val="21"/>
          <w:szCs w:val="21"/>
          <w:lang w:val="en-US"/>
        </w:rPr>
        <w:t xml:space="preserve">blind and visually impaired to a list of 400 funded </w:t>
      </w:r>
      <w:r w:rsidR="00DD50B3" w:rsidRPr="006A166B">
        <w:rPr>
          <w:rFonts w:ascii="Arial" w:hAnsi="Arial" w:cs="Arial"/>
          <w:sz w:val="21"/>
          <w:szCs w:val="21"/>
          <w:lang w:val="en-US"/>
        </w:rPr>
        <w:t>technology</w:t>
      </w:r>
      <w:r w:rsidRPr="006A166B">
        <w:rPr>
          <w:rFonts w:ascii="Arial" w:hAnsi="Arial" w:cs="Arial"/>
          <w:sz w:val="21"/>
          <w:szCs w:val="21"/>
          <w:lang w:val="en-US"/>
        </w:rPr>
        <w:t xml:space="preserve"> categories and</w:t>
      </w:r>
      <w:r w:rsidR="00016E6C">
        <w:rPr>
          <w:rFonts w:ascii="Arial" w:hAnsi="Arial" w:cs="Arial"/>
          <w:sz w:val="21"/>
          <w:szCs w:val="21"/>
          <w:lang w:val="en-US"/>
        </w:rPr>
        <w:t xml:space="preserve"> let the rate of </w:t>
      </w:r>
      <w:r w:rsidRPr="006A166B">
        <w:rPr>
          <w:rFonts w:ascii="Arial" w:hAnsi="Arial" w:cs="Arial"/>
          <w:sz w:val="21"/>
          <w:szCs w:val="21"/>
          <w:lang w:val="en-US"/>
        </w:rPr>
        <w:t xml:space="preserve">abandonment </w:t>
      </w:r>
      <w:r w:rsidR="00016E6C">
        <w:rPr>
          <w:rFonts w:ascii="Arial" w:hAnsi="Arial" w:cs="Arial"/>
          <w:sz w:val="21"/>
          <w:szCs w:val="21"/>
          <w:lang w:val="en-US"/>
        </w:rPr>
        <w:t xml:space="preserve">fall to only 4% </w:t>
      </w:r>
      <w:r w:rsidRPr="006A166B">
        <w:rPr>
          <w:rFonts w:ascii="Arial" w:hAnsi="Arial" w:cs="Arial"/>
          <w:sz w:val="21"/>
          <w:szCs w:val="21"/>
          <w:lang w:val="en-US"/>
        </w:rPr>
        <w:t xml:space="preserve">(while funded technology abandonment rates in other countries are up to 30%). </w:t>
      </w:r>
    </w:p>
    <w:p w14:paraId="467959F5" w14:textId="77777777" w:rsidR="006A166B" w:rsidRPr="006A166B" w:rsidRDefault="006A166B" w:rsidP="006A166B">
      <w:pPr>
        <w:spacing w:after="0" w:line="240" w:lineRule="auto"/>
        <w:rPr>
          <w:rFonts w:ascii="Arial" w:hAnsi="Arial" w:cs="Arial"/>
          <w:sz w:val="21"/>
          <w:szCs w:val="21"/>
          <w:lang w:val="en-US"/>
        </w:rPr>
      </w:pPr>
    </w:p>
    <w:p w14:paraId="387CF760" w14:textId="61727BE6" w:rsidR="006A166B" w:rsidRDefault="006A166B" w:rsidP="006A166B">
      <w:pPr>
        <w:spacing w:after="0" w:line="240" w:lineRule="auto"/>
        <w:rPr>
          <w:rFonts w:ascii="Arial" w:hAnsi="Arial" w:cs="Arial"/>
          <w:sz w:val="21"/>
          <w:szCs w:val="21"/>
          <w:lang w:val="en-US"/>
        </w:rPr>
      </w:pPr>
      <w:r w:rsidRPr="006A166B">
        <w:rPr>
          <w:rFonts w:ascii="Arial" w:hAnsi="Arial" w:cs="Arial"/>
          <w:sz w:val="21"/>
          <w:szCs w:val="21"/>
          <w:lang w:val="en-US"/>
        </w:rPr>
        <w:t xml:space="preserve">Australia too has moved away from approved equipment lists towards personal budgets that people with disabilities can spend on the technologies they need and want. And with this shift, there was </w:t>
      </w:r>
      <w:r w:rsidR="00766698">
        <w:rPr>
          <w:rFonts w:ascii="Arial" w:hAnsi="Arial" w:cs="Arial"/>
          <w:sz w:val="21"/>
          <w:szCs w:val="21"/>
          <w:lang w:val="en-US"/>
        </w:rPr>
        <w:t xml:space="preserve">a </w:t>
      </w:r>
      <w:r w:rsidRPr="006A166B">
        <w:rPr>
          <w:rFonts w:ascii="Arial" w:hAnsi="Arial" w:cs="Arial"/>
          <w:sz w:val="21"/>
          <w:szCs w:val="21"/>
          <w:lang w:val="en-US"/>
        </w:rPr>
        <w:t>noticeable growth in the demand for</w:t>
      </w:r>
      <w:r w:rsidR="009B35B7">
        <w:rPr>
          <w:rFonts w:ascii="Arial" w:hAnsi="Arial" w:cs="Arial"/>
          <w:sz w:val="21"/>
          <w:szCs w:val="21"/>
          <w:lang w:val="en-US"/>
        </w:rPr>
        <w:t xml:space="preserve"> accessible</w:t>
      </w:r>
      <w:r w:rsidRPr="006A166B">
        <w:rPr>
          <w:rFonts w:ascii="Arial" w:hAnsi="Arial" w:cs="Arial"/>
          <w:sz w:val="21"/>
          <w:szCs w:val="21"/>
          <w:lang w:val="en-US"/>
        </w:rPr>
        <w:t xml:space="preserve"> tablets and mobile phones over </w:t>
      </w:r>
      <w:r w:rsidRPr="006A166B">
        <w:rPr>
          <w:rFonts w:ascii="Arial" w:hAnsi="Arial" w:cs="Arial"/>
          <w:sz w:val="21"/>
          <w:szCs w:val="21"/>
          <w:lang w:val="en-US"/>
        </w:rPr>
        <w:lastRenderedPageBreak/>
        <w:t xml:space="preserve">more specialized devices. In addition, the Australian AT scheme provides training for professionals but also for people with disabilities to work in the AT sector and become experts in their own domain. </w:t>
      </w:r>
    </w:p>
    <w:p w14:paraId="7F35BAAD" w14:textId="05E6934C" w:rsidR="00FF6125" w:rsidRDefault="00FF6125" w:rsidP="006A166B">
      <w:pPr>
        <w:spacing w:after="0" w:line="240" w:lineRule="auto"/>
        <w:rPr>
          <w:rFonts w:ascii="Arial" w:hAnsi="Arial" w:cs="Arial"/>
          <w:sz w:val="21"/>
          <w:szCs w:val="21"/>
          <w:lang w:val="en-US"/>
        </w:rPr>
      </w:pPr>
    </w:p>
    <w:p w14:paraId="60B8B140" w14:textId="56FE70F2" w:rsidR="00FF6125" w:rsidRDefault="00FF6125" w:rsidP="00FF6125">
      <w:pPr>
        <w:spacing w:after="0" w:line="240" w:lineRule="auto"/>
        <w:rPr>
          <w:rFonts w:ascii="Arial" w:hAnsi="Arial" w:cs="Arial"/>
          <w:sz w:val="21"/>
          <w:szCs w:val="21"/>
          <w:lang w:val="en-US"/>
        </w:rPr>
      </w:pPr>
      <w:r w:rsidRPr="00FF6125">
        <w:rPr>
          <w:rFonts w:ascii="Arial" w:hAnsi="Arial" w:cs="Arial"/>
          <w:sz w:val="21"/>
          <w:szCs w:val="21"/>
          <w:lang w:val="en-US"/>
        </w:rPr>
        <w:t>Direct funding indeed seems the most promising in effective assistive technology provision: it empowers informed users to choose the technology they want to fulfill the function they need. And this might be an accessible smartphone rather than a specialized device or software. In selecting consumer technology, however, accessibility is only one of the important factors. In addition, users are concerned about cost, style, enhancements, interoperability, support, etc. The potential of consumer technology in AT provision is huge through the ease of use, the wide reach, the ease of distribution, the lower cost, and those devices serving as universal remote control and as a gateway to participating in today's society. The latter two are true for users with disabilities just as much as for users without disabilities. </w:t>
      </w:r>
    </w:p>
    <w:p w14:paraId="7A3FC7E8" w14:textId="7BE500DF" w:rsidR="00FF6125" w:rsidRDefault="00FF6125" w:rsidP="00FF6125">
      <w:pPr>
        <w:spacing w:after="0" w:line="240" w:lineRule="auto"/>
        <w:rPr>
          <w:rFonts w:ascii="Arial" w:hAnsi="Arial" w:cs="Arial"/>
          <w:sz w:val="21"/>
          <w:szCs w:val="21"/>
          <w:lang w:val="en-US"/>
        </w:rPr>
      </w:pPr>
    </w:p>
    <w:p w14:paraId="23007AC5" w14:textId="6A471635" w:rsidR="00FF6125" w:rsidRPr="00FF6125" w:rsidRDefault="00FF6125" w:rsidP="00FF6125">
      <w:pPr>
        <w:spacing w:after="0" w:line="240" w:lineRule="auto"/>
        <w:rPr>
          <w:rFonts w:ascii="Arial" w:hAnsi="Arial" w:cs="Arial"/>
          <w:sz w:val="21"/>
          <w:szCs w:val="21"/>
          <w:lang w:val="en-US"/>
        </w:rPr>
      </w:pPr>
      <w:r>
        <w:rPr>
          <w:rFonts w:ascii="Arial" w:hAnsi="Arial" w:cs="Arial"/>
          <w:sz w:val="21"/>
          <w:szCs w:val="21"/>
          <w:lang w:val="en-US"/>
        </w:rPr>
        <w:t xml:space="preserve">Furthermore, as the 2021 research project suggests, the integration of accessible consumer devices in AT delivery promises a wider range of </w:t>
      </w:r>
      <w:r w:rsidRPr="00FF6125">
        <w:rPr>
          <w:rFonts w:ascii="Arial" w:hAnsi="Arial" w:cs="Arial"/>
          <w:sz w:val="21"/>
          <w:szCs w:val="21"/>
        </w:rPr>
        <w:t>benefits to people with disabilit</w:t>
      </w:r>
      <w:r>
        <w:rPr>
          <w:rFonts w:ascii="Arial" w:hAnsi="Arial" w:cs="Arial"/>
          <w:sz w:val="21"/>
          <w:szCs w:val="21"/>
        </w:rPr>
        <w:t>ies</w:t>
      </w:r>
      <w:r w:rsidRPr="00FF6125">
        <w:rPr>
          <w:rFonts w:ascii="Arial" w:hAnsi="Arial" w:cs="Arial"/>
          <w:sz w:val="21"/>
          <w:szCs w:val="21"/>
        </w:rPr>
        <w:t xml:space="preserve"> and better economic and social return on investment for </w:t>
      </w:r>
      <w:r>
        <w:rPr>
          <w:rFonts w:ascii="Arial" w:hAnsi="Arial" w:cs="Arial"/>
          <w:sz w:val="21"/>
          <w:szCs w:val="21"/>
        </w:rPr>
        <w:t xml:space="preserve">the </w:t>
      </w:r>
      <w:r w:rsidRPr="00FF6125">
        <w:rPr>
          <w:rFonts w:ascii="Arial" w:hAnsi="Arial" w:cs="Arial"/>
          <w:sz w:val="21"/>
          <w:szCs w:val="21"/>
        </w:rPr>
        <w:t xml:space="preserve">authorities.   </w:t>
      </w:r>
    </w:p>
    <w:p w14:paraId="2D2B02E1" w14:textId="77777777" w:rsidR="006A166B" w:rsidRPr="006A166B" w:rsidRDefault="006A166B" w:rsidP="006A166B">
      <w:pPr>
        <w:spacing w:after="0" w:line="240" w:lineRule="auto"/>
        <w:rPr>
          <w:rFonts w:ascii="Arial" w:hAnsi="Arial" w:cs="Arial"/>
          <w:sz w:val="21"/>
          <w:szCs w:val="21"/>
          <w:lang w:val="en-US"/>
        </w:rPr>
      </w:pPr>
    </w:p>
    <w:p w14:paraId="27570E64" w14:textId="35501FA5" w:rsidR="00FF6125" w:rsidRDefault="006A166B" w:rsidP="00EC3E7C">
      <w:pPr>
        <w:spacing w:after="0" w:line="240" w:lineRule="auto"/>
        <w:rPr>
          <w:rFonts w:ascii="Arial" w:hAnsi="Arial" w:cs="Arial"/>
          <w:sz w:val="21"/>
          <w:szCs w:val="21"/>
          <w:lang w:val="en-US"/>
        </w:rPr>
      </w:pPr>
      <w:r w:rsidRPr="006A166B">
        <w:rPr>
          <w:rFonts w:ascii="Arial" w:hAnsi="Arial" w:cs="Arial"/>
          <w:sz w:val="21"/>
          <w:szCs w:val="21"/>
          <w:lang w:val="en-US"/>
        </w:rPr>
        <w:t xml:space="preserve">In all the mentioned cases though it was </w:t>
      </w:r>
      <w:r w:rsidR="00DF3535">
        <w:rPr>
          <w:rFonts w:ascii="Arial" w:hAnsi="Arial" w:cs="Arial"/>
          <w:sz w:val="21"/>
          <w:szCs w:val="21"/>
          <w:lang w:val="en-US"/>
        </w:rPr>
        <w:t>noticed</w:t>
      </w:r>
      <w:r w:rsidRPr="006A166B">
        <w:rPr>
          <w:rFonts w:ascii="Arial" w:hAnsi="Arial" w:cs="Arial"/>
          <w:sz w:val="21"/>
          <w:szCs w:val="21"/>
          <w:lang w:val="en-US"/>
        </w:rPr>
        <w:t xml:space="preserve"> that information asymmetry is a problem. </w:t>
      </w:r>
      <w:r w:rsidR="00FF6125" w:rsidRPr="006A166B">
        <w:rPr>
          <w:rFonts w:ascii="Arial" w:hAnsi="Arial" w:cs="Arial"/>
          <w:sz w:val="21"/>
          <w:szCs w:val="21"/>
          <w:lang w:val="en-US"/>
        </w:rPr>
        <w:t>Neither AT professionals nor AT users have comprehensive information on existing accessible and assistive technology. The user needs this information though as</w:t>
      </w:r>
      <w:r w:rsidR="0026123C">
        <w:rPr>
          <w:rFonts w:ascii="Arial" w:hAnsi="Arial" w:cs="Arial"/>
          <w:sz w:val="21"/>
          <w:szCs w:val="21"/>
          <w:lang w:val="en-US"/>
        </w:rPr>
        <w:t xml:space="preserve"> a</w:t>
      </w:r>
      <w:r w:rsidR="00FF6125" w:rsidRPr="006A166B">
        <w:rPr>
          <w:rFonts w:ascii="Arial" w:hAnsi="Arial" w:cs="Arial"/>
          <w:sz w:val="21"/>
          <w:szCs w:val="21"/>
          <w:lang w:val="en-US"/>
        </w:rPr>
        <w:t xml:space="preserve"> basis for making informed decisions, just as the service provider needs the information to recognize </w:t>
      </w:r>
      <w:r w:rsidR="0008737B">
        <w:rPr>
          <w:rFonts w:ascii="Arial" w:hAnsi="Arial" w:cs="Arial"/>
          <w:sz w:val="21"/>
          <w:szCs w:val="21"/>
          <w:lang w:val="en-US"/>
        </w:rPr>
        <w:t xml:space="preserve">the </w:t>
      </w:r>
      <w:r w:rsidR="00FF6125" w:rsidRPr="006A166B">
        <w:rPr>
          <w:rFonts w:ascii="Arial" w:hAnsi="Arial" w:cs="Arial"/>
          <w:sz w:val="21"/>
          <w:szCs w:val="21"/>
          <w:lang w:val="en-US"/>
        </w:rPr>
        <w:t xml:space="preserve">change in offer and demand and adjust the system. </w:t>
      </w:r>
    </w:p>
    <w:p w14:paraId="2B237EAA" w14:textId="77777777" w:rsidR="00FF6125" w:rsidRDefault="00FF6125" w:rsidP="00EC3E7C">
      <w:pPr>
        <w:spacing w:after="0" w:line="240" w:lineRule="auto"/>
        <w:rPr>
          <w:rFonts w:ascii="Arial" w:hAnsi="Arial" w:cs="Arial"/>
          <w:sz w:val="21"/>
          <w:szCs w:val="21"/>
          <w:lang w:val="en-US"/>
        </w:rPr>
      </w:pPr>
    </w:p>
    <w:p w14:paraId="7E517EFB" w14:textId="6D20E72A" w:rsidR="00EC3E7C" w:rsidRPr="00EC3E7C" w:rsidRDefault="00EC3E7C" w:rsidP="00EC3E7C">
      <w:pPr>
        <w:spacing w:after="0" w:line="240" w:lineRule="auto"/>
        <w:rPr>
          <w:rFonts w:ascii="Arial" w:hAnsi="Arial" w:cs="Arial"/>
          <w:sz w:val="21"/>
          <w:szCs w:val="21"/>
          <w:lang w:val="en-US"/>
        </w:rPr>
      </w:pPr>
      <w:r w:rsidRPr="00EC3E7C">
        <w:rPr>
          <w:rFonts w:ascii="Arial" w:hAnsi="Arial" w:cs="Arial"/>
          <w:sz w:val="21"/>
          <w:szCs w:val="21"/>
          <w:lang w:val="en-US"/>
        </w:rPr>
        <w:t>A survey among AT professionals in the UK indicates that the use of features included in mainstream accessible technologies, such as voice recognition, can support greater independence, less social isolation</w:t>
      </w:r>
      <w:r w:rsidR="000D1CD0">
        <w:rPr>
          <w:rFonts w:ascii="Arial" w:hAnsi="Arial" w:cs="Arial"/>
          <w:sz w:val="21"/>
          <w:szCs w:val="21"/>
          <w:lang w:val="en-US"/>
        </w:rPr>
        <w:t>,</w:t>
      </w:r>
      <w:r w:rsidRPr="00EC3E7C">
        <w:rPr>
          <w:rFonts w:ascii="Arial" w:hAnsi="Arial" w:cs="Arial"/>
          <w:sz w:val="21"/>
          <w:szCs w:val="21"/>
          <w:lang w:val="en-US"/>
        </w:rPr>
        <w:t xml:space="preserve"> and better therapeutic outcomes for people with disabilities. The uptake of these technologies is however hindered by a lack of awareness and knowledge about the existence of these features in what is considered consumer electronics on one hand, and a lack of funding for such devices on the other hand. </w:t>
      </w:r>
    </w:p>
    <w:p w14:paraId="17816D6E" w14:textId="77777777" w:rsidR="00EC3E7C" w:rsidRPr="00EC3E7C" w:rsidRDefault="00EC3E7C" w:rsidP="00EC3E7C">
      <w:pPr>
        <w:spacing w:after="0" w:line="240" w:lineRule="auto"/>
        <w:rPr>
          <w:rFonts w:ascii="Arial" w:hAnsi="Arial" w:cs="Arial"/>
          <w:sz w:val="21"/>
          <w:szCs w:val="21"/>
          <w:lang w:val="en-US"/>
        </w:rPr>
      </w:pPr>
    </w:p>
    <w:p w14:paraId="6C1044F0" w14:textId="5B4FCD61" w:rsidR="00EC3E7C" w:rsidRDefault="00EC3E7C" w:rsidP="00EC3E7C">
      <w:pPr>
        <w:spacing w:after="0" w:line="240" w:lineRule="auto"/>
        <w:rPr>
          <w:rFonts w:ascii="Arial" w:hAnsi="Arial" w:cs="Arial"/>
          <w:sz w:val="21"/>
          <w:szCs w:val="21"/>
          <w:lang w:val="en-US"/>
        </w:rPr>
      </w:pPr>
      <w:r w:rsidRPr="00EC3E7C">
        <w:rPr>
          <w:rFonts w:ascii="Arial" w:hAnsi="Arial" w:cs="Arial"/>
          <w:sz w:val="21"/>
          <w:szCs w:val="21"/>
          <w:lang w:val="en-US"/>
        </w:rPr>
        <w:t>This leads to situations where even if a mainstream device is funded for a specific function, the device is locked - meaning that everything that does not strictly serve the functionality for which the device has been provided, is being locked, cutting the user off from a range of other useful features.</w:t>
      </w:r>
    </w:p>
    <w:p w14:paraId="408817E6" w14:textId="7DFB0238" w:rsidR="004C5839" w:rsidRDefault="004C5839" w:rsidP="001F329E">
      <w:pPr>
        <w:spacing w:after="0" w:line="240" w:lineRule="auto"/>
        <w:rPr>
          <w:rFonts w:ascii="Arial" w:hAnsi="Arial" w:cs="Arial"/>
          <w:sz w:val="21"/>
          <w:szCs w:val="21"/>
          <w:lang w:val="en-US"/>
        </w:rPr>
      </w:pPr>
    </w:p>
    <w:p w14:paraId="219121FF" w14:textId="3D3EBF8C" w:rsidR="00EB4A74" w:rsidRDefault="00EB4A74" w:rsidP="00EB4A74">
      <w:pPr>
        <w:pStyle w:val="Heading1"/>
        <w:rPr>
          <w:lang w:val="en-US"/>
        </w:rPr>
      </w:pPr>
      <w:r>
        <w:rPr>
          <w:lang w:val="en-US"/>
        </w:rPr>
        <w:t xml:space="preserve">Conclusion </w:t>
      </w:r>
    </w:p>
    <w:p w14:paraId="608E5BB5" w14:textId="0F568F13" w:rsidR="009A1411" w:rsidRDefault="009A1411" w:rsidP="001F329E">
      <w:pPr>
        <w:spacing w:after="0" w:line="240" w:lineRule="auto"/>
        <w:rPr>
          <w:rFonts w:ascii="Arial" w:hAnsi="Arial" w:cs="Arial"/>
          <w:sz w:val="21"/>
          <w:szCs w:val="21"/>
          <w:lang w:val="en-US"/>
        </w:rPr>
      </w:pPr>
    </w:p>
    <w:p w14:paraId="06BB8E38" w14:textId="542FB063" w:rsidR="000265BC" w:rsidRDefault="000265BC" w:rsidP="001F329E">
      <w:pPr>
        <w:spacing w:after="0" w:line="240" w:lineRule="auto"/>
        <w:rPr>
          <w:rFonts w:ascii="Arial" w:hAnsi="Arial" w:cs="Arial"/>
          <w:sz w:val="21"/>
          <w:szCs w:val="21"/>
          <w:lang w:val="en-US"/>
        </w:rPr>
      </w:pPr>
      <w:r>
        <w:rPr>
          <w:rFonts w:ascii="Arial" w:hAnsi="Arial" w:cs="Arial"/>
          <w:sz w:val="21"/>
          <w:szCs w:val="21"/>
          <w:lang w:val="en-US"/>
        </w:rPr>
        <w:t xml:space="preserve">Research and experience show that </w:t>
      </w:r>
      <w:r w:rsidR="003108B7">
        <w:rPr>
          <w:rFonts w:ascii="Arial" w:hAnsi="Arial" w:cs="Arial"/>
          <w:sz w:val="21"/>
          <w:szCs w:val="21"/>
          <w:lang w:val="en-US"/>
        </w:rPr>
        <w:t xml:space="preserve">the potential of </w:t>
      </w:r>
      <w:r w:rsidR="003108B7" w:rsidRPr="003108B7">
        <w:rPr>
          <w:rFonts w:ascii="Arial" w:hAnsi="Arial" w:cs="Arial"/>
          <w:sz w:val="21"/>
          <w:szCs w:val="21"/>
          <w:lang w:val="en-US"/>
        </w:rPr>
        <w:t xml:space="preserve">accessible mobile devices such as smartphones, tablets, and wearables </w:t>
      </w:r>
      <w:r w:rsidR="003108B7">
        <w:rPr>
          <w:rFonts w:ascii="Arial" w:hAnsi="Arial" w:cs="Arial"/>
          <w:sz w:val="21"/>
          <w:szCs w:val="21"/>
          <w:lang w:val="en-US"/>
        </w:rPr>
        <w:t>is</w:t>
      </w:r>
      <w:r w:rsidR="003108B7" w:rsidRPr="003108B7">
        <w:rPr>
          <w:rFonts w:ascii="Arial" w:hAnsi="Arial" w:cs="Arial"/>
          <w:sz w:val="21"/>
          <w:szCs w:val="21"/>
          <w:lang w:val="en-US"/>
        </w:rPr>
        <w:t xml:space="preserve"> under-utilized in</w:t>
      </w:r>
      <w:r w:rsidR="003108B7">
        <w:rPr>
          <w:rFonts w:ascii="Arial" w:hAnsi="Arial" w:cs="Arial"/>
          <w:sz w:val="21"/>
          <w:szCs w:val="21"/>
          <w:lang w:val="en-US"/>
        </w:rPr>
        <w:t xml:space="preserve"> general and in particular in regard to</w:t>
      </w:r>
      <w:r w:rsidR="003108B7" w:rsidRPr="003108B7">
        <w:rPr>
          <w:rFonts w:ascii="Arial" w:hAnsi="Arial" w:cs="Arial"/>
          <w:sz w:val="21"/>
          <w:szCs w:val="21"/>
          <w:lang w:val="en-US"/>
        </w:rPr>
        <w:t xml:space="preserve"> filling the</w:t>
      </w:r>
      <w:r w:rsidR="003108B7">
        <w:rPr>
          <w:rFonts w:ascii="Arial" w:hAnsi="Arial" w:cs="Arial"/>
          <w:sz w:val="21"/>
          <w:szCs w:val="21"/>
          <w:lang w:val="en-US"/>
        </w:rPr>
        <w:t xml:space="preserve"> gap in</w:t>
      </w:r>
      <w:r w:rsidR="003108B7" w:rsidRPr="003108B7">
        <w:rPr>
          <w:rFonts w:ascii="Arial" w:hAnsi="Arial" w:cs="Arial"/>
          <w:sz w:val="21"/>
          <w:szCs w:val="21"/>
          <w:lang w:val="en-US"/>
        </w:rPr>
        <w:t xml:space="preserve"> assistive technology </w:t>
      </w:r>
      <w:r w:rsidR="003108B7">
        <w:rPr>
          <w:rFonts w:ascii="Arial" w:hAnsi="Arial" w:cs="Arial"/>
          <w:sz w:val="21"/>
          <w:szCs w:val="21"/>
          <w:lang w:val="en-US"/>
        </w:rPr>
        <w:t xml:space="preserve">delivery. The reasons are manifold. As outlined above, there is a lack of awareness about the power of today’s devices and the many accessibility and assistive features they come with. They also do not fit into the outdated definitions and understanding of </w:t>
      </w:r>
      <w:r w:rsidR="003108B7" w:rsidRPr="003108B7">
        <w:rPr>
          <w:rFonts w:ascii="Arial" w:hAnsi="Arial" w:cs="Arial"/>
          <w:sz w:val="21"/>
          <w:szCs w:val="21"/>
          <w:lang w:val="en-US"/>
        </w:rPr>
        <w:t>what qualifies as assistive technology</w:t>
      </w:r>
      <w:r w:rsidR="003108B7">
        <w:rPr>
          <w:rFonts w:ascii="Arial" w:hAnsi="Arial" w:cs="Arial"/>
          <w:sz w:val="21"/>
          <w:szCs w:val="21"/>
          <w:lang w:val="en-US"/>
        </w:rPr>
        <w:t xml:space="preserve"> and rigid criteria for AT funding which cannot keep pace with technological developments. </w:t>
      </w:r>
      <w:r w:rsidR="003108B7" w:rsidRPr="003108B7">
        <w:rPr>
          <w:rFonts w:ascii="Arial" w:hAnsi="Arial" w:cs="Arial"/>
          <w:sz w:val="21"/>
          <w:szCs w:val="21"/>
          <w:lang w:val="en-US"/>
        </w:rPr>
        <w:t xml:space="preserve">An additional perceived barrier is access to connectivity: subscription, availability, and cost. However, there are, in many countries, many different venues to get that access to </w:t>
      </w:r>
      <w:r w:rsidR="00654BE2">
        <w:rPr>
          <w:rFonts w:ascii="Arial" w:hAnsi="Arial" w:cs="Arial"/>
          <w:sz w:val="21"/>
          <w:szCs w:val="21"/>
          <w:lang w:val="en-US"/>
        </w:rPr>
        <w:t xml:space="preserve">the </w:t>
      </w:r>
      <w:r w:rsidR="003108B7" w:rsidRPr="003108B7">
        <w:rPr>
          <w:rFonts w:ascii="Arial" w:hAnsi="Arial" w:cs="Arial"/>
          <w:sz w:val="21"/>
          <w:szCs w:val="21"/>
          <w:lang w:val="en-US"/>
        </w:rPr>
        <w:t>internet funded for people with disabilities. The issue is yet again knowing about the different funding schemes in this regard.</w:t>
      </w:r>
    </w:p>
    <w:p w14:paraId="0F7A2A32" w14:textId="5CB16C4C" w:rsidR="0066334E" w:rsidRDefault="0066334E" w:rsidP="001F329E">
      <w:pPr>
        <w:spacing w:after="0" w:line="240" w:lineRule="auto"/>
        <w:rPr>
          <w:rFonts w:ascii="Arial" w:hAnsi="Arial" w:cs="Arial"/>
          <w:sz w:val="21"/>
          <w:szCs w:val="21"/>
          <w:lang w:val="en-US"/>
        </w:rPr>
      </w:pPr>
    </w:p>
    <w:p w14:paraId="1D9478ED" w14:textId="5E043D6D" w:rsidR="0066334E" w:rsidRDefault="0066334E" w:rsidP="001F329E">
      <w:pPr>
        <w:spacing w:after="0" w:line="240" w:lineRule="auto"/>
        <w:rPr>
          <w:rFonts w:ascii="Arial" w:hAnsi="Arial" w:cs="Arial"/>
          <w:sz w:val="21"/>
          <w:szCs w:val="21"/>
          <w:lang w:val="en-US"/>
        </w:rPr>
      </w:pPr>
      <w:r>
        <w:rPr>
          <w:rFonts w:ascii="Arial" w:hAnsi="Arial" w:cs="Arial"/>
          <w:sz w:val="21"/>
          <w:szCs w:val="21"/>
          <w:lang w:val="en-US"/>
        </w:rPr>
        <w:t xml:space="preserve">We do not need to ask ourselves: </w:t>
      </w:r>
      <w:r w:rsidRPr="0066334E">
        <w:rPr>
          <w:rFonts w:ascii="Arial" w:hAnsi="Arial" w:cs="Arial"/>
          <w:sz w:val="21"/>
          <w:szCs w:val="21"/>
          <w:lang w:val="en-US"/>
        </w:rPr>
        <w:t>If we don't get it right for providing accessible mobile phones to people with disabilities, how are we going to get it right for Smart Homes, the Internet of Things (IoT), robotics, Wearables, remote access (to work), autonomous vehicles, mobility as a service, and the many exciting emerging technologies? How then do we merge the definitions for assistive technology, accessible consumer, and digital technology to allow for including the right device for the right person in AT provision? It becomes evident that the focus must be on function and feature, rather than detailed technical specifications that get outdated rapidly.</w:t>
      </w:r>
    </w:p>
    <w:p w14:paraId="51C32E4F" w14:textId="47D464BD" w:rsidR="003108B7" w:rsidRDefault="003108B7" w:rsidP="001F329E">
      <w:pPr>
        <w:spacing w:after="0" w:line="240" w:lineRule="auto"/>
        <w:rPr>
          <w:rFonts w:ascii="Arial" w:hAnsi="Arial" w:cs="Arial"/>
          <w:sz w:val="21"/>
          <w:szCs w:val="21"/>
          <w:lang w:val="en-US"/>
        </w:rPr>
      </w:pPr>
    </w:p>
    <w:p w14:paraId="1FD4D299" w14:textId="6C395982" w:rsidR="00C003D0" w:rsidRDefault="0066334E" w:rsidP="00C003D0">
      <w:pPr>
        <w:spacing w:after="0" w:line="240" w:lineRule="auto"/>
        <w:rPr>
          <w:rFonts w:ascii="Arial" w:hAnsi="Arial" w:cs="Arial"/>
          <w:sz w:val="21"/>
          <w:szCs w:val="21"/>
        </w:rPr>
      </w:pPr>
      <w:r>
        <w:rPr>
          <w:rFonts w:ascii="Arial" w:hAnsi="Arial" w:cs="Arial"/>
          <w:sz w:val="21"/>
          <w:szCs w:val="21"/>
        </w:rPr>
        <w:t>Fact is, m</w:t>
      </w:r>
      <w:r w:rsidRPr="0066334E">
        <w:rPr>
          <w:rFonts w:ascii="Arial" w:hAnsi="Arial" w:cs="Arial"/>
          <w:sz w:val="21"/>
          <w:szCs w:val="21"/>
        </w:rPr>
        <w:t>obile</w:t>
      </w:r>
      <w:r>
        <w:rPr>
          <w:rFonts w:ascii="Arial" w:hAnsi="Arial" w:cs="Arial"/>
          <w:sz w:val="21"/>
          <w:szCs w:val="21"/>
        </w:rPr>
        <w:t xml:space="preserve"> phones</w:t>
      </w:r>
      <w:r w:rsidRPr="0066334E">
        <w:rPr>
          <w:rFonts w:ascii="Arial" w:hAnsi="Arial" w:cs="Arial"/>
          <w:sz w:val="21"/>
          <w:szCs w:val="21"/>
        </w:rPr>
        <w:t xml:space="preserve"> and tablets have been the first really pervasive technology in terms of accessibility</w:t>
      </w:r>
      <w:r>
        <w:rPr>
          <w:rFonts w:ascii="Arial" w:hAnsi="Arial" w:cs="Arial"/>
          <w:sz w:val="21"/>
          <w:szCs w:val="21"/>
        </w:rPr>
        <w:t>. W</w:t>
      </w:r>
      <w:r w:rsidRPr="0066334E">
        <w:rPr>
          <w:rFonts w:ascii="Arial" w:hAnsi="Arial" w:cs="Arial"/>
          <w:sz w:val="21"/>
          <w:szCs w:val="21"/>
        </w:rPr>
        <w:t xml:space="preserve">hat </w:t>
      </w:r>
      <w:r>
        <w:rPr>
          <w:rFonts w:ascii="Arial" w:hAnsi="Arial" w:cs="Arial"/>
          <w:sz w:val="21"/>
          <w:szCs w:val="21"/>
        </w:rPr>
        <w:t>do we learn</w:t>
      </w:r>
      <w:r w:rsidRPr="0066334E">
        <w:rPr>
          <w:rFonts w:ascii="Arial" w:hAnsi="Arial" w:cs="Arial"/>
          <w:sz w:val="21"/>
          <w:szCs w:val="21"/>
        </w:rPr>
        <w:t xml:space="preserve"> from </w:t>
      </w:r>
      <w:r>
        <w:rPr>
          <w:rFonts w:ascii="Arial" w:hAnsi="Arial" w:cs="Arial"/>
          <w:sz w:val="21"/>
          <w:szCs w:val="21"/>
        </w:rPr>
        <w:t>the success of these devices and our current struggles and providing access to accessible and assistive technologies,</w:t>
      </w:r>
      <w:r w:rsidRPr="0066334E">
        <w:rPr>
          <w:rFonts w:ascii="Arial" w:hAnsi="Arial" w:cs="Arial"/>
          <w:sz w:val="21"/>
          <w:szCs w:val="21"/>
        </w:rPr>
        <w:t xml:space="preserve"> that can inform both manufacturers</w:t>
      </w:r>
      <w:r>
        <w:rPr>
          <w:rFonts w:ascii="Arial" w:hAnsi="Arial" w:cs="Arial"/>
          <w:sz w:val="21"/>
          <w:szCs w:val="21"/>
        </w:rPr>
        <w:t xml:space="preserve"> of consumer devices</w:t>
      </w:r>
      <w:r w:rsidRPr="0066334E">
        <w:rPr>
          <w:rFonts w:ascii="Arial" w:hAnsi="Arial" w:cs="Arial"/>
          <w:sz w:val="21"/>
          <w:szCs w:val="21"/>
        </w:rPr>
        <w:t xml:space="preserve"> and AT funding authorities</w:t>
      </w:r>
      <w:r>
        <w:rPr>
          <w:rFonts w:ascii="Arial" w:hAnsi="Arial" w:cs="Arial"/>
          <w:sz w:val="21"/>
          <w:szCs w:val="21"/>
        </w:rPr>
        <w:t xml:space="preserve"> when it comes to the</w:t>
      </w:r>
      <w:r w:rsidRPr="0066334E">
        <w:rPr>
          <w:rFonts w:ascii="Arial" w:hAnsi="Arial" w:cs="Arial"/>
          <w:sz w:val="21"/>
          <w:szCs w:val="21"/>
        </w:rPr>
        <w:t xml:space="preserve"> next generation</w:t>
      </w:r>
      <w:r>
        <w:rPr>
          <w:rFonts w:ascii="Arial" w:hAnsi="Arial" w:cs="Arial"/>
          <w:sz w:val="21"/>
          <w:szCs w:val="21"/>
        </w:rPr>
        <w:t xml:space="preserve">s </w:t>
      </w:r>
      <w:r w:rsidRPr="0066334E">
        <w:rPr>
          <w:rFonts w:ascii="Arial" w:hAnsi="Arial" w:cs="Arial"/>
          <w:sz w:val="21"/>
          <w:szCs w:val="21"/>
        </w:rPr>
        <w:t>of technology</w:t>
      </w:r>
      <w:r>
        <w:rPr>
          <w:rFonts w:ascii="Arial" w:hAnsi="Arial" w:cs="Arial"/>
          <w:sz w:val="21"/>
          <w:szCs w:val="21"/>
        </w:rPr>
        <w:t xml:space="preserve">? </w:t>
      </w:r>
    </w:p>
    <w:p w14:paraId="6F2BB96C" w14:textId="7B756555" w:rsidR="0066334E" w:rsidRDefault="0066334E" w:rsidP="00C003D0">
      <w:pPr>
        <w:spacing w:after="0" w:line="240" w:lineRule="auto"/>
        <w:rPr>
          <w:rFonts w:ascii="Arial" w:hAnsi="Arial" w:cs="Arial"/>
          <w:sz w:val="21"/>
          <w:szCs w:val="21"/>
        </w:rPr>
      </w:pPr>
    </w:p>
    <w:p w14:paraId="61BD6CE1" w14:textId="10C70A02" w:rsidR="0066334E" w:rsidRDefault="0066334E" w:rsidP="00C003D0">
      <w:pPr>
        <w:spacing w:after="0" w:line="240" w:lineRule="auto"/>
        <w:rPr>
          <w:rFonts w:ascii="Arial" w:hAnsi="Arial" w:cs="Arial"/>
          <w:sz w:val="21"/>
          <w:szCs w:val="21"/>
        </w:rPr>
      </w:pPr>
      <w:r>
        <w:rPr>
          <w:rFonts w:ascii="Arial" w:hAnsi="Arial" w:cs="Arial"/>
          <w:sz w:val="21"/>
          <w:szCs w:val="21"/>
        </w:rPr>
        <w:t xml:space="preserve">Let’s conclude </w:t>
      </w:r>
      <w:r w:rsidR="00EE2629">
        <w:rPr>
          <w:rFonts w:ascii="Arial" w:hAnsi="Arial" w:cs="Arial"/>
          <w:sz w:val="21"/>
          <w:szCs w:val="21"/>
        </w:rPr>
        <w:t>with</w:t>
      </w:r>
      <w:r>
        <w:rPr>
          <w:rFonts w:ascii="Arial" w:hAnsi="Arial" w:cs="Arial"/>
          <w:sz w:val="21"/>
          <w:szCs w:val="21"/>
        </w:rPr>
        <w:t xml:space="preserve"> three main takeaways: </w:t>
      </w:r>
    </w:p>
    <w:p w14:paraId="15A16EA8" w14:textId="77777777" w:rsidR="0066334E" w:rsidRPr="0066334E" w:rsidRDefault="0066334E" w:rsidP="00C003D0">
      <w:pPr>
        <w:spacing w:after="0" w:line="240" w:lineRule="auto"/>
        <w:rPr>
          <w:rFonts w:ascii="Arial" w:hAnsi="Arial" w:cs="Arial"/>
          <w:sz w:val="21"/>
          <w:szCs w:val="21"/>
        </w:rPr>
      </w:pPr>
    </w:p>
    <w:p w14:paraId="42A005E2" w14:textId="77777777" w:rsidR="00C003D0" w:rsidRPr="006F7F02" w:rsidRDefault="00C003D0" w:rsidP="0066334E">
      <w:pPr>
        <w:numPr>
          <w:ilvl w:val="0"/>
          <w:numId w:val="18"/>
        </w:numPr>
        <w:spacing w:after="0" w:line="240" w:lineRule="auto"/>
        <w:rPr>
          <w:rFonts w:ascii="Arial" w:hAnsi="Arial" w:cs="Arial"/>
          <w:sz w:val="21"/>
          <w:szCs w:val="21"/>
          <w:lang w:val="en-US"/>
        </w:rPr>
      </w:pPr>
      <w:r>
        <w:rPr>
          <w:rFonts w:ascii="Arial" w:hAnsi="Arial" w:cs="Arial"/>
          <w:sz w:val="21"/>
          <w:szCs w:val="21"/>
          <w:lang w:val="en-US"/>
        </w:rPr>
        <w:t>T</w:t>
      </w:r>
      <w:r w:rsidRPr="006F7F02">
        <w:rPr>
          <w:rFonts w:ascii="Arial" w:hAnsi="Arial" w:cs="Arial"/>
          <w:sz w:val="21"/>
          <w:szCs w:val="21"/>
          <w:lang w:val="en-US"/>
        </w:rPr>
        <w:t>here is a multitude of accessible and assistive features readily available in devices on the market</w:t>
      </w:r>
      <w:r>
        <w:rPr>
          <w:rFonts w:ascii="Arial" w:hAnsi="Arial" w:cs="Arial"/>
          <w:sz w:val="21"/>
          <w:szCs w:val="21"/>
          <w:lang w:val="en-US"/>
        </w:rPr>
        <w:t>.</w:t>
      </w:r>
    </w:p>
    <w:p w14:paraId="100E81D3" w14:textId="77777777" w:rsidR="00C003D0" w:rsidRPr="006F7F02" w:rsidRDefault="00C003D0" w:rsidP="0066334E">
      <w:pPr>
        <w:numPr>
          <w:ilvl w:val="0"/>
          <w:numId w:val="18"/>
        </w:numPr>
        <w:spacing w:after="0" w:line="240" w:lineRule="auto"/>
        <w:rPr>
          <w:rFonts w:ascii="Arial" w:hAnsi="Arial" w:cs="Arial"/>
          <w:sz w:val="21"/>
          <w:szCs w:val="21"/>
          <w:lang w:val="en-US"/>
        </w:rPr>
      </w:pPr>
      <w:r w:rsidRPr="006F7F02">
        <w:rPr>
          <w:rFonts w:ascii="Arial" w:hAnsi="Arial" w:cs="Arial"/>
          <w:sz w:val="21"/>
          <w:szCs w:val="21"/>
          <w:lang w:val="en-US"/>
        </w:rPr>
        <w:t>AT funding bodies need to remove artificial barriers to access</w:t>
      </w:r>
      <w:r>
        <w:rPr>
          <w:rFonts w:ascii="Arial" w:hAnsi="Arial" w:cs="Arial"/>
          <w:sz w:val="21"/>
          <w:szCs w:val="21"/>
          <w:lang w:val="en-US"/>
        </w:rPr>
        <w:t>.</w:t>
      </w:r>
    </w:p>
    <w:p w14:paraId="7942E7CD" w14:textId="3AEC3AD5" w:rsidR="008D1FB1" w:rsidRDefault="00C003D0" w:rsidP="001F329E">
      <w:pPr>
        <w:numPr>
          <w:ilvl w:val="0"/>
          <w:numId w:val="18"/>
        </w:numPr>
        <w:spacing w:after="0" w:line="240" w:lineRule="auto"/>
        <w:rPr>
          <w:rFonts w:ascii="Arial" w:hAnsi="Arial" w:cs="Arial"/>
          <w:sz w:val="21"/>
          <w:szCs w:val="21"/>
          <w:lang w:val="en-US"/>
        </w:rPr>
      </w:pPr>
      <w:r>
        <w:rPr>
          <w:rFonts w:ascii="Arial" w:hAnsi="Arial" w:cs="Arial"/>
          <w:sz w:val="21"/>
          <w:szCs w:val="21"/>
          <w:lang w:val="en-US"/>
        </w:rPr>
        <w:t xml:space="preserve">There is huge </w:t>
      </w:r>
      <w:r w:rsidRPr="006F7F02">
        <w:rPr>
          <w:rFonts w:ascii="Arial" w:hAnsi="Arial" w:cs="Arial"/>
          <w:sz w:val="21"/>
          <w:szCs w:val="21"/>
          <w:lang w:val="en-US"/>
        </w:rPr>
        <w:t>potential to combine lower costs with an extended range of functionality to cover a wide</w:t>
      </w:r>
      <w:r>
        <w:rPr>
          <w:rFonts w:ascii="Arial" w:hAnsi="Arial" w:cs="Arial"/>
          <w:sz w:val="21"/>
          <w:szCs w:val="21"/>
          <w:lang w:val="en-US"/>
        </w:rPr>
        <w:t>r</w:t>
      </w:r>
      <w:r w:rsidRPr="006F7F02">
        <w:rPr>
          <w:rFonts w:ascii="Arial" w:hAnsi="Arial" w:cs="Arial"/>
          <w:sz w:val="21"/>
          <w:szCs w:val="21"/>
          <w:lang w:val="en-US"/>
        </w:rPr>
        <w:t xml:space="preserve"> range of needs</w:t>
      </w:r>
      <w:r>
        <w:rPr>
          <w:rFonts w:ascii="Arial" w:hAnsi="Arial" w:cs="Arial"/>
          <w:sz w:val="21"/>
          <w:szCs w:val="21"/>
          <w:lang w:val="en-US"/>
        </w:rPr>
        <w:t xml:space="preserve">. </w:t>
      </w:r>
    </w:p>
    <w:p w14:paraId="1399DE6A" w14:textId="10F6449A" w:rsidR="0066334E" w:rsidRDefault="0066334E" w:rsidP="0066334E">
      <w:pPr>
        <w:spacing w:after="0" w:line="240" w:lineRule="auto"/>
        <w:rPr>
          <w:rFonts w:ascii="Arial" w:hAnsi="Arial" w:cs="Arial"/>
          <w:sz w:val="21"/>
          <w:szCs w:val="21"/>
          <w:lang w:val="en-US"/>
        </w:rPr>
      </w:pPr>
    </w:p>
    <w:p w14:paraId="52B29558" w14:textId="5C436885" w:rsidR="0066334E" w:rsidRPr="0066334E" w:rsidRDefault="0066334E" w:rsidP="0066334E">
      <w:pPr>
        <w:spacing w:after="0" w:line="240" w:lineRule="auto"/>
        <w:rPr>
          <w:rFonts w:ascii="Arial" w:hAnsi="Arial" w:cs="Arial"/>
          <w:sz w:val="21"/>
          <w:szCs w:val="21"/>
          <w:lang w:val="en-US"/>
        </w:rPr>
      </w:pPr>
      <w:r>
        <w:rPr>
          <w:rFonts w:ascii="Arial" w:hAnsi="Arial" w:cs="Arial"/>
          <w:sz w:val="21"/>
          <w:szCs w:val="21"/>
          <w:lang w:val="en-US"/>
        </w:rPr>
        <w:t xml:space="preserve">And building on these three takeaways, formulate a call to action. </w:t>
      </w:r>
    </w:p>
    <w:p w14:paraId="420F507C" w14:textId="64E65C8D" w:rsidR="008D1FB1" w:rsidRDefault="008D1FB1" w:rsidP="008D1FB1">
      <w:pPr>
        <w:pStyle w:val="Heading1"/>
        <w:rPr>
          <w:lang w:val="en-US"/>
        </w:rPr>
      </w:pPr>
      <w:r>
        <w:rPr>
          <w:lang w:val="en-US"/>
        </w:rPr>
        <w:t>Call to action</w:t>
      </w:r>
    </w:p>
    <w:p w14:paraId="74797080" w14:textId="77777777" w:rsidR="008D1FB1" w:rsidRDefault="008D1FB1" w:rsidP="001F329E">
      <w:pPr>
        <w:spacing w:after="0" w:line="240" w:lineRule="auto"/>
        <w:rPr>
          <w:rFonts w:ascii="Arial" w:hAnsi="Arial" w:cs="Arial"/>
          <w:sz w:val="21"/>
          <w:szCs w:val="21"/>
          <w:lang w:val="en-US"/>
        </w:rPr>
      </w:pPr>
    </w:p>
    <w:p w14:paraId="68CA286B" w14:textId="6161A76E" w:rsidR="008D1FB1" w:rsidRDefault="008D1FB1" w:rsidP="001F329E">
      <w:pPr>
        <w:spacing w:after="0" w:line="240" w:lineRule="auto"/>
        <w:rPr>
          <w:rFonts w:ascii="Arial" w:hAnsi="Arial" w:cs="Arial"/>
          <w:sz w:val="21"/>
          <w:szCs w:val="21"/>
          <w:lang w:val="en-US"/>
        </w:rPr>
      </w:pPr>
      <w:r>
        <w:rPr>
          <w:rFonts w:ascii="Arial" w:hAnsi="Arial" w:cs="Arial"/>
          <w:sz w:val="21"/>
          <w:szCs w:val="21"/>
          <w:lang w:val="en-US"/>
        </w:rPr>
        <w:t xml:space="preserve">Policies and systems do not change </w:t>
      </w:r>
      <w:r w:rsidR="00B650BB">
        <w:rPr>
          <w:rFonts w:ascii="Arial" w:hAnsi="Arial" w:cs="Arial"/>
          <w:sz w:val="21"/>
          <w:szCs w:val="21"/>
          <w:lang w:val="en-US"/>
        </w:rPr>
        <w:t>overnight</w:t>
      </w:r>
      <w:r>
        <w:rPr>
          <w:rFonts w:ascii="Arial" w:hAnsi="Arial" w:cs="Arial"/>
          <w:sz w:val="21"/>
          <w:szCs w:val="21"/>
          <w:lang w:val="en-US"/>
        </w:rPr>
        <w:t xml:space="preserve">, but there are three key steps we can start with: </w:t>
      </w:r>
    </w:p>
    <w:p w14:paraId="62B94A62" w14:textId="77777777" w:rsidR="006F7F02" w:rsidRPr="006F7F02" w:rsidRDefault="006F7F02" w:rsidP="006F7F02">
      <w:pPr>
        <w:spacing w:after="0" w:line="240" w:lineRule="auto"/>
        <w:rPr>
          <w:rFonts w:ascii="Arial" w:hAnsi="Arial" w:cs="Arial"/>
          <w:sz w:val="21"/>
          <w:szCs w:val="21"/>
          <w:lang w:val="en-US"/>
        </w:rPr>
      </w:pPr>
    </w:p>
    <w:p w14:paraId="796770D5" w14:textId="5DD512FC" w:rsidR="006F7F02" w:rsidRPr="006F7F02" w:rsidRDefault="006F7F02" w:rsidP="006F7F02">
      <w:pPr>
        <w:numPr>
          <w:ilvl w:val="0"/>
          <w:numId w:val="16"/>
        </w:numPr>
        <w:spacing w:after="0" w:line="240" w:lineRule="auto"/>
        <w:rPr>
          <w:rFonts w:ascii="Arial" w:hAnsi="Arial" w:cs="Arial"/>
          <w:sz w:val="21"/>
          <w:szCs w:val="21"/>
          <w:lang w:val="en-US"/>
        </w:rPr>
      </w:pPr>
      <w:r w:rsidRPr="006F7F02">
        <w:rPr>
          <w:rFonts w:ascii="Arial" w:hAnsi="Arial" w:cs="Arial"/>
          <w:sz w:val="21"/>
          <w:szCs w:val="21"/>
          <w:lang w:val="en-US"/>
        </w:rPr>
        <w:t>Use free resources for information on available accessible technology on the market and integrate</w:t>
      </w:r>
      <w:r w:rsidR="004B51E8">
        <w:rPr>
          <w:rFonts w:ascii="Arial" w:hAnsi="Arial" w:cs="Arial"/>
          <w:sz w:val="21"/>
          <w:szCs w:val="21"/>
          <w:lang w:val="en-US"/>
        </w:rPr>
        <w:t xml:space="preserve"> them</w:t>
      </w:r>
      <w:r w:rsidRPr="006F7F02">
        <w:rPr>
          <w:rFonts w:ascii="Arial" w:hAnsi="Arial" w:cs="Arial"/>
          <w:sz w:val="21"/>
          <w:szCs w:val="21"/>
          <w:lang w:val="en-US"/>
        </w:rPr>
        <w:t xml:space="preserve"> into AT provision. </w:t>
      </w:r>
    </w:p>
    <w:p w14:paraId="1060966A" w14:textId="77777777" w:rsidR="006F7F02" w:rsidRPr="006F7F02" w:rsidRDefault="006F7F02" w:rsidP="006F7F02">
      <w:pPr>
        <w:numPr>
          <w:ilvl w:val="0"/>
          <w:numId w:val="16"/>
        </w:numPr>
        <w:spacing w:after="0" w:line="240" w:lineRule="auto"/>
        <w:rPr>
          <w:rFonts w:ascii="Arial" w:hAnsi="Arial" w:cs="Arial"/>
          <w:sz w:val="21"/>
          <w:szCs w:val="21"/>
          <w:lang w:val="en-US"/>
        </w:rPr>
      </w:pPr>
      <w:r w:rsidRPr="006F7F02">
        <w:rPr>
          <w:rFonts w:ascii="Arial" w:hAnsi="Arial" w:cs="Arial"/>
          <w:sz w:val="21"/>
          <w:szCs w:val="21"/>
          <w:lang w:val="en-US"/>
        </w:rPr>
        <w:t xml:space="preserve">Revise funding criteria to provide functionality rather than specific hardware or software. </w:t>
      </w:r>
    </w:p>
    <w:p w14:paraId="3B977C30" w14:textId="16114F2B" w:rsidR="001A0A41" w:rsidRDefault="006F7F02" w:rsidP="00775A36">
      <w:pPr>
        <w:numPr>
          <w:ilvl w:val="0"/>
          <w:numId w:val="16"/>
        </w:numPr>
        <w:spacing w:after="0" w:line="240" w:lineRule="auto"/>
        <w:rPr>
          <w:rFonts w:ascii="Arial" w:hAnsi="Arial" w:cs="Arial"/>
          <w:sz w:val="21"/>
          <w:szCs w:val="21"/>
          <w:lang w:val="en-US"/>
        </w:rPr>
      </w:pPr>
      <w:r w:rsidRPr="006F7F02">
        <w:rPr>
          <w:rFonts w:ascii="Arial" w:hAnsi="Arial" w:cs="Arial"/>
          <w:sz w:val="21"/>
          <w:szCs w:val="21"/>
          <w:lang w:val="en-US"/>
        </w:rPr>
        <w:t xml:space="preserve">Include training on how to use devices, features, </w:t>
      </w:r>
      <w:r w:rsidR="00DA5DAA">
        <w:rPr>
          <w:rFonts w:ascii="Arial" w:hAnsi="Arial" w:cs="Arial"/>
          <w:sz w:val="21"/>
          <w:szCs w:val="21"/>
          <w:lang w:val="en-US"/>
        </w:rPr>
        <w:t xml:space="preserve">and </w:t>
      </w:r>
      <w:r w:rsidRPr="006F7F02">
        <w:rPr>
          <w:rFonts w:ascii="Arial" w:hAnsi="Arial" w:cs="Arial"/>
          <w:sz w:val="21"/>
          <w:szCs w:val="21"/>
          <w:lang w:val="en-US"/>
        </w:rPr>
        <w:t>services</w:t>
      </w:r>
      <w:r w:rsidR="00FF3066">
        <w:rPr>
          <w:rFonts w:ascii="Arial" w:hAnsi="Arial" w:cs="Arial"/>
          <w:sz w:val="21"/>
          <w:szCs w:val="21"/>
          <w:lang w:val="en-US"/>
        </w:rPr>
        <w:t xml:space="preserve"> – for both therapists and caregivers as well as users. </w:t>
      </w:r>
    </w:p>
    <w:p w14:paraId="1C701BA8" w14:textId="13E1CC35" w:rsidR="008B37F9" w:rsidRDefault="008B37F9" w:rsidP="008B37F9">
      <w:pPr>
        <w:spacing w:after="0" w:line="240" w:lineRule="auto"/>
        <w:rPr>
          <w:rFonts w:ascii="Arial" w:hAnsi="Arial" w:cs="Arial"/>
          <w:sz w:val="21"/>
          <w:szCs w:val="21"/>
          <w:lang w:val="en-US"/>
        </w:rPr>
      </w:pPr>
    </w:p>
    <w:p w14:paraId="5863CE5E" w14:textId="0D6FBBAB" w:rsidR="008B37F9" w:rsidRDefault="008B37F9" w:rsidP="00E2588F">
      <w:pPr>
        <w:pStyle w:val="Heading1"/>
        <w:rPr>
          <w:lang w:val="en-US"/>
        </w:rPr>
      </w:pPr>
      <w:r>
        <w:rPr>
          <w:lang w:val="en-US"/>
        </w:rPr>
        <w:t>End note</w:t>
      </w:r>
    </w:p>
    <w:p w14:paraId="127F4AC4" w14:textId="38640B28" w:rsidR="008B37F9" w:rsidRDefault="008B37F9" w:rsidP="008B37F9">
      <w:pPr>
        <w:spacing w:after="0" w:line="240" w:lineRule="auto"/>
        <w:rPr>
          <w:rFonts w:ascii="Arial" w:hAnsi="Arial" w:cs="Arial"/>
          <w:sz w:val="21"/>
          <w:szCs w:val="21"/>
          <w:lang w:val="en-US"/>
        </w:rPr>
      </w:pPr>
    </w:p>
    <w:p w14:paraId="16CDCEB5" w14:textId="319EBD91" w:rsidR="000A0D23" w:rsidRPr="000A0D23" w:rsidRDefault="00E94291" w:rsidP="000A0D23">
      <w:pPr>
        <w:spacing w:after="0" w:line="240" w:lineRule="auto"/>
        <w:rPr>
          <w:rFonts w:ascii="Arial" w:hAnsi="Arial" w:cs="Arial"/>
          <w:sz w:val="21"/>
          <w:szCs w:val="21"/>
        </w:rPr>
      </w:pPr>
      <w:r w:rsidRPr="00E94291">
        <w:rPr>
          <w:rFonts w:ascii="Arial" w:hAnsi="Arial" w:cs="Arial"/>
          <w:sz w:val="21"/>
          <w:szCs w:val="21"/>
        </w:rPr>
        <w:t xml:space="preserve">This position paper builds on results from the 2021 GARI research project and discussions of these findings by an expert panel </w:t>
      </w:r>
      <w:r w:rsidR="000A0D23">
        <w:rPr>
          <w:rFonts w:ascii="Arial" w:hAnsi="Arial" w:cs="Arial"/>
          <w:sz w:val="21"/>
          <w:szCs w:val="21"/>
        </w:rPr>
        <w:t>in the session on “</w:t>
      </w:r>
      <w:r w:rsidR="000A0D23" w:rsidRPr="000A0D23">
        <w:rPr>
          <w:rFonts w:ascii="Arial" w:hAnsi="Arial" w:cs="Arial" w:hint="cs"/>
          <w:sz w:val="21"/>
          <w:szCs w:val="21"/>
          <w:lang w:val="en-US"/>
        </w:rPr>
        <w:t>Can Accessible Consumer Tech Bridge the Gap in AT Provision?</w:t>
      </w:r>
      <w:r w:rsidR="000A0D23">
        <w:rPr>
          <w:rFonts w:ascii="Arial" w:hAnsi="Arial" w:cs="Arial"/>
          <w:sz w:val="21"/>
          <w:szCs w:val="21"/>
          <w:lang w:val="en-US"/>
        </w:rPr>
        <w:t>”</w:t>
      </w:r>
      <w:r w:rsidR="009046CE">
        <w:rPr>
          <w:rFonts w:ascii="Arial" w:hAnsi="Arial" w:cs="Arial"/>
          <w:sz w:val="21"/>
          <w:szCs w:val="21"/>
          <w:lang w:val="en-US"/>
        </w:rPr>
        <w:t xml:space="preserve"> </w:t>
      </w:r>
      <w:r w:rsidRPr="00E94291">
        <w:rPr>
          <w:rFonts w:ascii="Arial" w:hAnsi="Arial" w:cs="Arial"/>
          <w:sz w:val="21"/>
          <w:szCs w:val="21"/>
        </w:rPr>
        <w:t xml:space="preserve">at </w:t>
      </w:r>
      <w:r w:rsidR="000A0D23">
        <w:rPr>
          <w:rFonts w:ascii="Arial" w:hAnsi="Arial" w:cs="Arial"/>
          <w:sz w:val="21"/>
          <w:szCs w:val="21"/>
        </w:rPr>
        <w:t xml:space="preserve">the </w:t>
      </w:r>
      <w:r w:rsidR="000A0D23" w:rsidRPr="000A0D23">
        <w:rPr>
          <w:rFonts w:ascii="Arial" w:hAnsi="Arial" w:cs="Arial"/>
          <w:sz w:val="21"/>
          <w:szCs w:val="21"/>
        </w:rPr>
        <w:t>Joint International Conference on Digital Inclusion, Assistive Technology &amp; Accessibility - ICCHP-AAATE 2022, Lecco, Ital</w:t>
      </w:r>
      <w:r w:rsidR="000A0D23">
        <w:rPr>
          <w:rFonts w:ascii="Arial" w:hAnsi="Arial" w:cs="Arial"/>
          <w:sz w:val="21"/>
          <w:szCs w:val="21"/>
        </w:rPr>
        <w:t xml:space="preserve">y. The panelists included </w:t>
      </w:r>
      <w:r w:rsidR="000A0D23" w:rsidRPr="000A0D23">
        <w:rPr>
          <w:rFonts w:ascii="Arial" w:hAnsi="Arial" w:cs="Arial"/>
          <w:sz w:val="21"/>
          <w:szCs w:val="21"/>
        </w:rPr>
        <w:t xml:space="preserve">David Banes, Director of David Banes Access and Inclusion Services &amp; </w:t>
      </w:r>
      <w:proofErr w:type="spellStart"/>
      <w:r w:rsidR="000A0D23" w:rsidRPr="000A0D23">
        <w:rPr>
          <w:rFonts w:ascii="Arial" w:hAnsi="Arial" w:cs="Arial"/>
          <w:sz w:val="21"/>
          <w:szCs w:val="21"/>
        </w:rPr>
        <w:t>DATEurope</w:t>
      </w:r>
      <w:proofErr w:type="spellEnd"/>
      <w:r w:rsidR="000A0D23">
        <w:rPr>
          <w:rFonts w:ascii="Arial" w:hAnsi="Arial" w:cs="Arial"/>
          <w:sz w:val="21"/>
          <w:szCs w:val="21"/>
        </w:rPr>
        <w:t xml:space="preserve">; </w:t>
      </w:r>
      <w:proofErr w:type="spellStart"/>
      <w:r w:rsidR="000A0D23" w:rsidRPr="000A0D23">
        <w:rPr>
          <w:rFonts w:ascii="Arial" w:hAnsi="Arial" w:cs="Arial"/>
          <w:sz w:val="21"/>
          <w:szCs w:val="21"/>
        </w:rPr>
        <w:t>Siobhán</w:t>
      </w:r>
      <w:proofErr w:type="spellEnd"/>
      <w:r w:rsidR="000A0D23" w:rsidRPr="000A0D23">
        <w:rPr>
          <w:rFonts w:ascii="Arial" w:hAnsi="Arial" w:cs="Arial"/>
          <w:sz w:val="21"/>
          <w:szCs w:val="21"/>
        </w:rPr>
        <w:t xml:space="preserve"> Long, Manager, National Assistive Technology &amp; </w:t>
      </w:r>
      <w:proofErr w:type="spellStart"/>
      <w:r w:rsidR="000A0D23" w:rsidRPr="000A0D23">
        <w:rPr>
          <w:rFonts w:ascii="Arial" w:hAnsi="Arial" w:cs="Arial"/>
          <w:sz w:val="21"/>
          <w:szCs w:val="21"/>
        </w:rPr>
        <w:t>SeatTech</w:t>
      </w:r>
      <w:proofErr w:type="spellEnd"/>
      <w:r w:rsidR="000A0D23" w:rsidRPr="000A0D23">
        <w:rPr>
          <w:rFonts w:ascii="Arial" w:hAnsi="Arial" w:cs="Arial"/>
          <w:sz w:val="21"/>
          <w:szCs w:val="21"/>
        </w:rPr>
        <w:t xml:space="preserve"> Services, Enable Ireland</w:t>
      </w:r>
      <w:r w:rsidR="000A0D23">
        <w:rPr>
          <w:rFonts w:ascii="Arial" w:hAnsi="Arial" w:cs="Arial"/>
          <w:sz w:val="21"/>
          <w:szCs w:val="21"/>
        </w:rPr>
        <w:t xml:space="preserve">; </w:t>
      </w:r>
      <w:r w:rsidR="000A0D23" w:rsidRPr="000A0D23">
        <w:rPr>
          <w:rFonts w:ascii="Arial" w:hAnsi="Arial" w:cs="Arial"/>
          <w:sz w:val="21"/>
          <w:szCs w:val="21"/>
        </w:rPr>
        <w:t xml:space="preserve">Klaus </w:t>
      </w:r>
      <w:proofErr w:type="spellStart"/>
      <w:r w:rsidR="000A0D23" w:rsidRPr="000A0D23">
        <w:rPr>
          <w:rFonts w:ascii="Arial" w:hAnsi="Arial" w:cs="Arial"/>
          <w:sz w:val="21"/>
          <w:szCs w:val="21"/>
        </w:rPr>
        <w:t>Höckner</w:t>
      </w:r>
      <w:proofErr w:type="spellEnd"/>
      <w:r w:rsidR="000A0D23" w:rsidRPr="000A0D23">
        <w:rPr>
          <w:rFonts w:ascii="Arial" w:hAnsi="Arial" w:cs="Arial"/>
          <w:sz w:val="21"/>
          <w:szCs w:val="21"/>
        </w:rPr>
        <w:t xml:space="preserve">, Director, </w:t>
      </w:r>
      <w:proofErr w:type="spellStart"/>
      <w:r w:rsidR="000A0D23" w:rsidRPr="000A0D23">
        <w:rPr>
          <w:rFonts w:ascii="Arial" w:hAnsi="Arial" w:cs="Arial"/>
          <w:sz w:val="21"/>
          <w:szCs w:val="21"/>
        </w:rPr>
        <w:t>Hilfsgemeinschaft</w:t>
      </w:r>
      <w:proofErr w:type="spellEnd"/>
      <w:r w:rsidR="000A0D23" w:rsidRPr="000A0D23">
        <w:rPr>
          <w:rFonts w:ascii="Arial" w:hAnsi="Arial" w:cs="Arial"/>
          <w:sz w:val="21"/>
          <w:szCs w:val="21"/>
        </w:rPr>
        <w:t xml:space="preserve"> der </w:t>
      </w:r>
      <w:proofErr w:type="spellStart"/>
      <w:r w:rsidR="000A0D23" w:rsidRPr="000A0D23">
        <w:rPr>
          <w:rFonts w:ascii="Arial" w:hAnsi="Arial" w:cs="Arial"/>
          <w:sz w:val="21"/>
          <w:szCs w:val="21"/>
        </w:rPr>
        <w:t>Blinden</w:t>
      </w:r>
      <w:proofErr w:type="spellEnd"/>
      <w:r w:rsidR="000A0D23" w:rsidRPr="000A0D23">
        <w:rPr>
          <w:rFonts w:ascii="Arial" w:hAnsi="Arial" w:cs="Arial"/>
          <w:sz w:val="21"/>
          <w:szCs w:val="21"/>
        </w:rPr>
        <w:t xml:space="preserve"> und </w:t>
      </w:r>
      <w:proofErr w:type="spellStart"/>
      <w:r w:rsidR="000A0D23" w:rsidRPr="000A0D23">
        <w:rPr>
          <w:rFonts w:ascii="Arial" w:hAnsi="Arial" w:cs="Arial"/>
          <w:sz w:val="21"/>
          <w:szCs w:val="21"/>
        </w:rPr>
        <w:t>Seeschwachen</w:t>
      </w:r>
      <w:proofErr w:type="spellEnd"/>
      <w:r w:rsidR="000A0D23" w:rsidRPr="000A0D23">
        <w:rPr>
          <w:rFonts w:ascii="Arial" w:hAnsi="Arial" w:cs="Arial"/>
          <w:sz w:val="21"/>
          <w:szCs w:val="21"/>
        </w:rPr>
        <w:t xml:space="preserve"> </w:t>
      </w:r>
      <w:proofErr w:type="spellStart"/>
      <w:r w:rsidR="000A0D23" w:rsidRPr="000A0D23">
        <w:rPr>
          <w:rFonts w:ascii="Arial" w:hAnsi="Arial" w:cs="Arial"/>
          <w:sz w:val="21"/>
          <w:szCs w:val="21"/>
        </w:rPr>
        <w:t>Österreichs</w:t>
      </w:r>
      <w:proofErr w:type="spellEnd"/>
      <w:r w:rsidR="000A0D23">
        <w:rPr>
          <w:rFonts w:ascii="Arial" w:hAnsi="Arial" w:cs="Arial"/>
          <w:sz w:val="21"/>
          <w:szCs w:val="21"/>
        </w:rPr>
        <w:t xml:space="preserve">; </w:t>
      </w:r>
      <w:r w:rsidR="000A0D23" w:rsidRPr="000A0D23">
        <w:rPr>
          <w:rFonts w:ascii="Arial" w:hAnsi="Arial" w:cs="Arial"/>
          <w:sz w:val="21"/>
          <w:szCs w:val="21"/>
        </w:rPr>
        <w:t>Wei Zhang, WHO Assistive Technology Program</w:t>
      </w:r>
      <w:r w:rsidR="000A0D23">
        <w:rPr>
          <w:rFonts w:ascii="Arial" w:hAnsi="Arial" w:cs="Arial"/>
          <w:sz w:val="21"/>
          <w:szCs w:val="21"/>
        </w:rPr>
        <w:t xml:space="preserve">; </w:t>
      </w:r>
      <w:r w:rsidR="000A0D23" w:rsidRPr="000A0D23">
        <w:rPr>
          <w:rFonts w:ascii="Arial" w:hAnsi="Arial" w:cs="Arial"/>
          <w:sz w:val="21"/>
          <w:szCs w:val="21"/>
        </w:rPr>
        <w:t>Bryan Boyle, Lecturer, University College Cork</w:t>
      </w:r>
      <w:r w:rsidR="000A0D23">
        <w:rPr>
          <w:rFonts w:ascii="Arial" w:hAnsi="Arial" w:cs="Arial"/>
          <w:sz w:val="21"/>
          <w:szCs w:val="21"/>
        </w:rPr>
        <w:t xml:space="preserve">; Sabine Lobnig, Director Communications, MWF/GARI. </w:t>
      </w:r>
    </w:p>
    <w:p w14:paraId="6B611B8E" w14:textId="77777777" w:rsidR="000A0D23" w:rsidRDefault="000A0D23" w:rsidP="000A0D23">
      <w:pPr>
        <w:spacing w:after="0" w:line="240" w:lineRule="auto"/>
        <w:rPr>
          <w:rFonts w:ascii="Arial" w:hAnsi="Arial" w:cs="Arial"/>
          <w:sz w:val="21"/>
          <w:szCs w:val="21"/>
        </w:rPr>
      </w:pPr>
    </w:p>
    <w:p w14:paraId="155E3980" w14:textId="6152B6CB" w:rsidR="006758B6" w:rsidRPr="00D672D4" w:rsidRDefault="000A0D23" w:rsidP="006758B6">
      <w:pPr>
        <w:spacing w:after="0" w:line="240" w:lineRule="auto"/>
        <w:rPr>
          <w:rFonts w:ascii="Arial" w:hAnsi="Arial" w:cs="Arial"/>
          <w:sz w:val="21"/>
          <w:szCs w:val="21"/>
          <w:lang w:val="en-US"/>
        </w:rPr>
      </w:pPr>
      <w:r>
        <w:rPr>
          <w:rFonts w:ascii="Arial" w:hAnsi="Arial" w:cs="Arial"/>
          <w:sz w:val="21"/>
          <w:szCs w:val="21"/>
        </w:rPr>
        <w:t>The discussions were continued in two educational sessions</w:t>
      </w:r>
      <w:r w:rsidR="00D672D4">
        <w:rPr>
          <w:rFonts w:ascii="Arial" w:hAnsi="Arial" w:cs="Arial"/>
          <w:sz w:val="21"/>
          <w:szCs w:val="21"/>
        </w:rPr>
        <w:t xml:space="preserve"> dedicated to “</w:t>
      </w:r>
      <w:r w:rsidR="00D672D4" w:rsidRPr="00D672D4">
        <w:rPr>
          <w:rFonts w:ascii="Arial" w:hAnsi="Arial" w:cs="Arial"/>
          <w:sz w:val="21"/>
          <w:szCs w:val="21"/>
          <w:lang w:val="en-US"/>
        </w:rPr>
        <w:t>GARI: Finding accessible devices and other resources</w:t>
      </w:r>
      <w:r w:rsidR="00D672D4">
        <w:rPr>
          <w:rFonts w:ascii="Arial" w:hAnsi="Arial" w:cs="Arial"/>
          <w:sz w:val="21"/>
          <w:szCs w:val="21"/>
          <w:lang w:val="en-US"/>
        </w:rPr>
        <w:t>” and “</w:t>
      </w:r>
      <w:r w:rsidR="00D672D4" w:rsidRPr="00D672D4">
        <w:rPr>
          <w:rFonts w:ascii="Arial" w:hAnsi="Arial" w:cs="Arial"/>
          <w:sz w:val="21"/>
          <w:szCs w:val="21"/>
          <w:lang w:val="en-US"/>
        </w:rPr>
        <w:t xml:space="preserve">Accessible, Assistive, and Available, </w:t>
      </w:r>
      <w:r w:rsidR="00D672D4" w:rsidRPr="00D672D4">
        <w:rPr>
          <w:rFonts w:ascii="Arial" w:hAnsi="Arial" w:cs="Arial"/>
          <w:sz w:val="21"/>
          <w:szCs w:val="21"/>
          <w:lang w:val="en-US"/>
        </w:rPr>
        <w:br/>
        <w:t>Addressing barriers to the use of consumer technology</w:t>
      </w:r>
      <w:r w:rsidR="00D672D4">
        <w:rPr>
          <w:rFonts w:ascii="Arial" w:hAnsi="Arial" w:cs="Arial"/>
          <w:sz w:val="21"/>
          <w:szCs w:val="21"/>
          <w:lang w:val="en-US"/>
        </w:rPr>
        <w:t>”</w:t>
      </w:r>
      <w:r>
        <w:rPr>
          <w:rFonts w:ascii="Arial" w:hAnsi="Arial" w:cs="Arial"/>
          <w:sz w:val="21"/>
          <w:szCs w:val="21"/>
        </w:rPr>
        <w:t xml:space="preserve"> at </w:t>
      </w:r>
      <w:r w:rsidR="00D672D4">
        <w:rPr>
          <w:rFonts w:ascii="Arial" w:hAnsi="Arial" w:cs="Arial"/>
          <w:sz w:val="21"/>
          <w:szCs w:val="21"/>
        </w:rPr>
        <w:t xml:space="preserve">the ATIA 2023 Conference in Orlando, Florida. </w:t>
      </w:r>
    </w:p>
    <w:p w14:paraId="3820EFE7" w14:textId="2F05AE03" w:rsidR="008B37F9" w:rsidRDefault="008B37F9" w:rsidP="008B37F9">
      <w:pPr>
        <w:spacing w:after="0" w:line="240" w:lineRule="auto"/>
        <w:rPr>
          <w:rFonts w:ascii="Arial" w:hAnsi="Arial" w:cs="Arial"/>
          <w:sz w:val="21"/>
          <w:szCs w:val="21"/>
          <w:lang w:val="en-US"/>
        </w:rPr>
      </w:pPr>
    </w:p>
    <w:p w14:paraId="07F17CB7" w14:textId="1E31134B" w:rsidR="00D672D4" w:rsidRDefault="000821A9" w:rsidP="008B37F9">
      <w:pPr>
        <w:spacing w:after="0" w:line="240" w:lineRule="auto"/>
        <w:rPr>
          <w:rFonts w:ascii="Arial" w:hAnsi="Arial" w:cs="Arial"/>
          <w:sz w:val="21"/>
          <w:szCs w:val="21"/>
          <w:lang w:val="en-US"/>
        </w:rPr>
      </w:pPr>
      <w:r>
        <w:rPr>
          <w:rFonts w:ascii="Arial" w:hAnsi="Arial" w:cs="Arial"/>
          <w:sz w:val="21"/>
          <w:szCs w:val="21"/>
          <w:lang w:val="en-US"/>
        </w:rPr>
        <w:t xml:space="preserve">A Special Thematic Session </w:t>
      </w:r>
      <w:r w:rsidR="003033E2">
        <w:rPr>
          <w:rFonts w:ascii="Arial" w:hAnsi="Arial" w:cs="Arial"/>
          <w:sz w:val="21"/>
          <w:szCs w:val="21"/>
          <w:lang w:val="en-US"/>
        </w:rPr>
        <w:t>on “</w:t>
      </w:r>
      <w:r w:rsidR="003033E2" w:rsidRPr="003033E2">
        <w:rPr>
          <w:rFonts w:ascii="Arial" w:hAnsi="Arial" w:cs="Arial"/>
          <w:sz w:val="21"/>
          <w:szCs w:val="21"/>
          <w:lang w:val="en-US"/>
        </w:rPr>
        <w:t>Accessible, Assistive, and Available</w:t>
      </w:r>
      <w:r w:rsidR="003033E2">
        <w:rPr>
          <w:rFonts w:ascii="Arial" w:hAnsi="Arial" w:cs="Arial"/>
          <w:sz w:val="21"/>
          <w:szCs w:val="21"/>
          <w:lang w:val="en-US"/>
        </w:rPr>
        <w:t xml:space="preserve"> - </w:t>
      </w:r>
      <w:r w:rsidR="003033E2" w:rsidRPr="003033E2">
        <w:rPr>
          <w:rFonts w:ascii="Arial" w:hAnsi="Arial" w:cs="Arial"/>
          <w:sz w:val="21"/>
          <w:szCs w:val="21"/>
          <w:lang w:val="en-US"/>
        </w:rPr>
        <w:t>Addressing barriers to the use of consumer technology</w:t>
      </w:r>
      <w:r w:rsidR="003033E2">
        <w:rPr>
          <w:rFonts w:ascii="Arial" w:hAnsi="Arial" w:cs="Arial"/>
          <w:sz w:val="21"/>
          <w:szCs w:val="21"/>
          <w:lang w:val="en-US"/>
        </w:rPr>
        <w:t>” (</w:t>
      </w:r>
      <w:hyperlink r:id="rId8" w:history="1">
        <w:r w:rsidR="003033E2" w:rsidRPr="00911B0F">
          <w:rPr>
            <w:rStyle w:val="Hyperlink"/>
            <w:rFonts w:ascii="Arial" w:hAnsi="Arial" w:cs="Arial"/>
            <w:sz w:val="21"/>
            <w:szCs w:val="21"/>
            <w:lang w:val="en-US"/>
          </w:rPr>
          <w:t>https://aaate2023.eu/call/sts/list/the-assistive-potential-of-digital-consumer-technology/</w:t>
        </w:r>
      </w:hyperlink>
      <w:r w:rsidR="003033E2">
        <w:rPr>
          <w:rFonts w:ascii="Arial" w:hAnsi="Arial" w:cs="Arial"/>
          <w:sz w:val="21"/>
          <w:szCs w:val="21"/>
          <w:lang w:val="en-US"/>
        </w:rPr>
        <w:t xml:space="preserve">) at the </w:t>
      </w:r>
      <w:r>
        <w:rPr>
          <w:rFonts w:ascii="Arial" w:hAnsi="Arial" w:cs="Arial"/>
          <w:sz w:val="21"/>
          <w:szCs w:val="21"/>
          <w:lang w:val="en-US"/>
        </w:rPr>
        <w:t>AAATE 2023 Conference end of August in Paris will gather additional perspectives, present recent papers on this topic and give room to dive deeper into the discussion on how accessible consumer devices might help bridge the gap in AT provision.</w:t>
      </w:r>
    </w:p>
    <w:p w14:paraId="3BF613EA" w14:textId="6A992E57" w:rsidR="008B37F9" w:rsidRDefault="008B37F9" w:rsidP="00E2588F">
      <w:pPr>
        <w:pStyle w:val="Heading1"/>
        <w:rPr>
          <w:lang w:val="en-US"/>
        </w:rPr>
      </w:pPr>
      <w:r>
        <w:rPr>
          <w:lang w:val="en-US"/>
        </w:rPr>
        <w:t xml:space="preserve">Resources </w:t>
      </w:r>
    </w:p>
    <w:p w14:paraId="1193B805" w14:textId="6B074752" w:rsidR="008B37F9" w:rsidRDefault="008B37F9" w:rsidP="008B37F9">
      <w:pPr>
        <w:spacing w:after="0" w:line="240" w:lineRule="auto"/>
        <w:rPr>
          <w:rFonts w:ascii="Arial" w:hAnsi="Arial" w:cs="Arial"/>
          <w:sz w:val="21"/>
          <w:szCs w:val="21"/>
          <w:lang w:val="en-US"/>
        </w:rPr>
      </w:pPr>
    </w:p>
    <w:p w14:paraId="2692EFEF" w14:textId="6E0B66E2" w:rsidR="003033E2" w:rsidRDefault="00ED1EE2" w:rsidP="008B37F9">
      <w:pPr>
        <w:spacing w:after="0" w:line="240" w:lineRule="auto"/>
        <w:rPr>
          <w:rFonts w:ascii="Arial" w:hAnsi="Arial" w:cs="Arial"/>
          <w:sz w:val="21"/>
          <w:szCs w:val="21"/>
          <w:lang w:val="en-US"/>
        </w:rPr>
      </w:pPr>
      <w:r>
        <w:rPr>
          <w:rFonts w:ascii="Arial" w:hAnsi="Arial" w:cs="Arial"/>
          <w:sz w:val="21"/>
          <w:szCs w:val="21"/>
          <w:lang w:val="en-US"/>
        </w:rPr>
        <w:t xml:space="preserve">Global Accessibility Reporting Initiative (GARI): </w:t>
      </w:r>
      <w:hyperlink r:id="rId9" w:history="1">
        <w:r w:rsidR="00D672D4" w:rsidRPr="00911B0F">
          <w:rPr>
            <w:rStyle w:val="Hyperlink"/>
            <w:rFonts w:ascii="Arial" w:hAnsi="Arial" w:cs="Arial"/>
            <w:sz w:val="21"/>
            <w:szCs w:val="21"/>
            <w:lang w:val="en-US"/>
          </w:rPr>
          <w:t>https://www.gari.info</w:t>
        </w:r>
      </w:hyperlink>
      <w:r w:rsidR="00D672D4">
        <w:rPr>
          <w:rFonts w:ascii="Arial" w:hAnsi="Arial" w:cs="Arial"/>
          <w:sz w:val="21"/>
          <w:szCs w:val="21"/>
          <w:lang w:val="en-US"/>
        </w:rPr>
        <w:t xml:space="preserve"> </w:t>
      </w:r>
    </w:p>
    <w:p w14:paraId="6912FB7D" w14:textId="46D49FDE" w:rsidR="00D672D4" w:rsidRDefault="00D672D4" w:rsidP="008B37F9">
      <w:pPr>
        <w:spacing w:after="0" w:line="240" w:lineRule="auto"/>
        <w:rPr>
          <w:rFonts w:ascii="Arial" w:hAnsi="Arial" w:cs="Arial"/>
          <w:sz w:val="21"/>
          <w:szCs w:val="21"/>
        </w:rPr>
      </w:pPr>
    </w:p>
    <w:p w14:paraId="6605DDE4" w14:textId="19CA5338" w:rsidR="004F2069" w:rsidRDefault="004F2069" w:rsidP="008B37F9">
      <w:pPr>
        <w:spacing w:after="0" w:line="240" w:lineRule="auto"/>
        <w:rPr>
          <w:rFonts w:ascii="Arial" w:hAnsi="Arial" w:cs="Arial"/>
          <w:sz w:val="21"/>
          <w:szCs w:val="21"/>
        </w:rPr>
      </w:pPr>
      <w:r w:rsidRPr="004F2069">
        <w:rPr>
          <w:rFonts w:ascii="Arial" w:hAnsi="Arial" w:cs="Arial"/>
          <w:sz w:val="21"/>
          <w:szCs w:val="21"/>
        </w:rPr>
        <w:lastRenderedPageBreak/>
        <w:t>Global report on assistive technology</w:t>
      </w:r>
      <w:r w:rsidR="00830ED3">
        <w:rPr>
          <w:rFonts w:ascii="Arial" w:hAnsi="Arial" w:cs="Arial"/>
          <w:sz w:val="21"/>
          <w:szCs w:val="21"/>
        </w:rPr>
        <w:t xml:space="preserve"> (2022)</w:t>
      </w:r>
      <w:r>
        <w:rPr>
          <w:rFonts w:ascii="Arial" w:hAnsi="Arial" w:cs="Arial"/>
          <w:sz w:val="21"/>
          <w:szCs w:val="21"/>
        </w:rPr>
        <w:t xml:space="preserve">, by WHO/UNICEF: </w:t>
      </w:r>
      <w:hyperlink r:id="rId10" w:history="1">
        <w:r w:rsidRPr="00911B0F">
          <w:rPr>
            <w:rStyle w:val="Hyperlink"/>
            <w:rFonts w:ascii="Arial" w:hAnsi="Arial" w:cs="Arial"/>
            <w:sz w:val="21"/>
            <w:szCs w:val="21"/>
          </w:rPr>
          <w:t>https://www.who.int/publications/i/item/9789240049451</w:t>
        </w:r>
      </w:hyperlink>
      <w:r>
        <w:rPr>
          <w:rFonts w:ascii="Arial" w:hAnsi="Arial" w:cs="Arial"/>
          <w:sz w:val="21"/>
          <w:szCs w:val="21"/>
        </w:rPr>
        <w:t xml:space="preserve"> </w:t>
      </w:r>
    </w:p>
    <w:p w14:paraId="18DA27E6" w14:textId="04395FED" w:rsidR="004F2069" w:rsidRDefault="004F2069" w:rsidP="008B37F9">
      <w:pPr>
        <w:spacing w:after="0" w:line="240" w:lineRule="auto"/>
        <w:rPr>
          <w:rFonts w:ascii="Arial" w:hAnsi="Arial" w:cs="Arial"/>
          <w:sz w:val="21"/>
          <w:szCs w:val="21"/>
        </w:rPr>
      </w:pPr>
    </w:p>
    <w:p w14:paraId="2821B182" w14:textId="06FE844B" w:rsidR="004F2069" w:rsidRPr="00830ED3" w:rsidRDefault="00830ED3" w:rsidP="00830ED3">
      <w:pPr>
        <w:spacing w:after="0" w:line="240" w:lineRule="auto"/>
        <w:rPr>
          <w:rFonts w:ascii="Arial" w:hAnsi="Arial" w:cs="Arial"/>
          <w:sz w:val="21"/>
          <w:szCs w:val="21"/>
          <w:lang w:val="en-US"/>
        </w:rPr>
      </w:pPr>
      <w:r w:rsidRPr="00830ED3">
        <w:rPr>
          <w:rFonts w:ascii="Arial" w:hAnsi="Arial" w:cs="Arial"/>
          <w:sz w:val="21"/>
          <w:szCs w:val="21"/>
          <w:lang w:val="en-US"/>
        </w:rPr>
        <w:t>European Disability Forum Position Paper</w:t>
      </w:r>
      <w:r>
        <w:rPr>
          <w:rFonts w:ascii="Arial" w:hAnsi="Arial" w:cs="Arial"/>
          <w:sz w:val="21"/>
          <w:szCs w:val="21"/>
          <w:lang w:val="en-US"/>
        </w:rPr>
        <w:t xml:space="preserve"> </w:t>
      </w:r>
      <w:r w:rsidRPr="00830ED3">
        <w:rPr>
          <w:rFonts w:ascii="Arial" w:hAnsi="Arial" w:cs="Arial"/>
          <w:sz w:val="21"/>
          <w:szCs w:val="21"/>
          <w:lang w:val="en-US"/>
        </w:rPr>
        <w:t>on access, barriers and policy recommendations about Assistive Technologies</w:t>
      </w:r>
      <w:r>
        <w:rPr>
          <w:rFonts w:ascii="Arial" w:hAnsi="Arial" w:cs="Arial"/>
          <w:sz w:val="21"/>
          <w:szCs w:val="21"/>
          <w:lang w:val="en-US"/>
        </w:rPr>
        <w:t xml:space="preserve"> (2021): </w:t>
      </w:r>
      <w:hyperlink r:id="rId11" w:history="1">
        <w:r w:rsidRPr="00911B0F">
          <w:rPr>
            <w:rStyle w:val="Hyperlink"/>
            <w:rFonts w:ascii="Arial" w:hAnsi="Arial" w:cs="Arial"/>
            <w:sz w:val="21"/>
            <w:szCs w:val="21"/>
            <w:lang w:val="en-US"/>
          </w:rPr>
          <w:t>https://www.edf-feph.org/content/uploads/2021/05/2021-EDF-position-on-Assistive-Technologies-Final.pdf</w:t>
        </w:r>
      </w:hyperlink>
      <w:r>
        <w:rPr>
          <w:rFonts w:ascii="Arial" w:hAnsi="Arial" w:cs="Arial"/>
          <w:sz w:val="21"/>
          <w:szCs w:val="21"/>
          <w:lang w:val="en-US"/>
        </w:rPr>
        <w:t xml:space="preserve"> </w:t>
      </w:r>
    </w:p>
    <w:p w14:paraId="559B95C6" w14:textId="7DC1BA06" w:rsidR="004F2069" w:rsidRDefault="004F2069" w:rsidP="008B37F9">
      <w:pPr>
        <w:spacing w:after="0" w:line="240" w:lineRule="auto"/>
        <w:rPr>
          <w:rFonts w:ascii="Arial" w:hAnsi="Arial" w:cs="Arial"/>
          <w:sz w:val="21"/>
          <w:szCs w:val="21"/>
        </w:rPr>
      </w:pPr>
    </w:p>
    <w:p w14:paraId="0979B0C3" w14:textId="77777777" w:rsidR="00E16E02" w:rsidRPr="00E16E02" w:rsidRDefault="00E16E02" w:rsidP="00E16E02">
      <w:pPr>
        <w:spacing w:after="0" w:line="240" w:lineRule="auto"/>
        <w:rPr>
          <w:rFonts w:ascii="Arial" w:hAnsi="Arial" w:cs="Arial"/>
          <w:sz w:val="21"/>
          <w:szCs w:val="21"/>
          <w:lang w:val="en-US"/>
        </w:rPr>
      </w:pPr>
      <w:r w:rsidRPr="00E16E02">
        <w:rPr>
          <w:rFonts w:ascii="Arial" w:hAnsi="Arial" w:cs="Arial"/>
          <w:sz w:val="21"/>
          <w:szCs w:val="21"/>
          <w:lang w:val="en-US"/>
        </w:rPr>
        <w:t xml:space="preserve">Opportunities for digital assistive technology innovations in Africa and Asia (2020), by GSMA: </w:t>
      </w:r>
    </w:p>
    <w:p w14:paraId="1C7EE23D" w14:textId="77777777" w:rsidR="00E16E02" w:rsidRPr="00E16E02" w:rsidRDefault="00FE4718" w:rsidP="00E16E02">
      <w:pPr>
        <w:spacing w:after="0" w:line="240" w:lineRule="auto"/>
        <w:rPr>
          <w:rFonts w:ascii="Arial" w:hAnsi="Arial" w:cs="Arial"/>
          <w:sz w:val="21"/>
          <w:szCs w:val="21"/>
          <w:lang w:val="en-US"/>
        </w:rPr>
      </w:pPr>
      <w:hyperlink r:id="rId12" w:history="1">
        <w:r w:rsidR="00E16E02" w:rsidRPr="00E16E02">
          <w:rPr>
            <w:rStyle w:val="Hyperlink"/>
            <w:rFonts w:ascii="Arial" w:hAnsi="Arial" w:cs="Arial"/>
            <w:sz w:val="21"/>
            <w:szCs w:val="21"/>
            <w:lang w:val="en-US"/>
          </w:rPr>
          <w:t>https://www.gsma.com/mobilefordevelopment/resources/opportunities-for-digital-assistive-technology-innovations-in-africa-and-asia/</w:t>
        </w:r>
      </w:hyperlink>
    </w:p>
    <w:p w14:paraId="0C0A7D68" w14:textId="44CD39FA" w:rsidR="00E16E02" w:rsidRDefault="00E16E02" w:rsidP="008B37F9">
      <w:pPr>
        <w:spacing w:after="0" w:line="240" w:lineRule="auto"/>
        <w:rPr>
          <w:rFonts w:ascii="Arial" w:hAnsi="Arial" w:cs="Arial"/>
          <w:sz w:val="21"/>
          <w:szCs w:val="21"/>
          <w:lang w:val="en-US"/>
        </w:rPr>
      </w:pPr>
    </w:p>
    <w:p w14:paraId="10360D9B" w14:textId="77777777" w:rsidR="00E16E02" w:rsidRPr="00E16E02" w:rsidRDefault="00E16E02" w:rsidP="008B37F9">
      <w:pPr>
        <w:spacing w:after="0" w:line="240" w:lineRule="auto"/>
        <w:rPr>
          <w:rFonts w:ascii="Arial" w:hAnsi="Arial" w:cs="Arial"/>
          <w:sz w:val="21"/>
          <w:szCs w:val="21"/>
          <w:lang w:val="en-US"/>
        </w:rPr>
      </w:pPr>
    </w:p>
    <w:sectPr w:rsidR="00E16E02" w:rsidRPr="00E16E0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58AD" w16cex:dateUtc="2023-05-29T15:00:00Z"/>
  <w16cex:commentExtensible w16cex:durableId="281F59FC" w16cex:dateUtc="2023-05-29T15:06:00Z"/>
  <w16cex:commentExtensible w16cex:durableId="281F5BE4" w16cex:dateUtc="2023-05-29T15:14:00Z"/>
  <w16cex:commentExtensible w16cex:durableId="281F5C16" w16cex:dateUtc="2023-05-29T15:15:00Z"/>
  <w16cex:commentExtensible w16cex:durableId="281F5D3B" w16cex:dateUtc="2023-05-29T15:19:00Z"/>
  <w16cex:commentExtensible w16cex:durableId="281F5C5D" w16cex:dateUtc="2023-05-29T1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0C05" w14:textId="77777777" w:rsidR="00FE4718" w:rsidRDefault="00FE4718" w:rsidP="000607F5">
      <w:pPr>
        <w:spacing w:after="0" w:line="240" w:lineRule="auto"/>
      </w:pPr>
      <w:r>
        <w:separator/>
      </w:r>
    </w:p>
  </w:endnote>
  <w:endnote w:type="continuationSeparator" w:id="0">
    <w:p w14:paraId="0FF0EF0A" w14:textId="77777777" w:rsidR="00FE4718" w:rsidRDefault="00FE4718" w:rsidP="0006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A91E" w14:textId="77777777" w:rsidR="00427B91" w:rsidRDefault="0042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D7AD" w14:textId="77777777" w:rsidR="00427B91" w:rsidRDefault="00427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8077" w14:textId="77777777" w:rsidR="00427B91" w:rsidRDefault="0042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338A" w14:textId="77777777" w:rsidR="00FE4718" w:rsidRDefault="00FE4718" w:rsidP="000607F5">
      <w:pPr>
        <w:spacing w:after="0" w:line="240" w:lineRule="auto"/>
      </w:pPr>
      <w:r>
        <w:separator/>
      </w:r>
    </w:p>
  </w:footnote>
  <w:footnote w:type="continuationSeparator" w:id="0">
    <w:p w14:paraId="29E49C09" w14:textId="77777777" w:rsidR="00FE4718" w:rsidRDefault="00FE4718" w:rsidP="000607F5">
      <w:pPr>
        <w:spacing w:after="0" w:line="240" w:lineRule="auto"/>
      </w:pPr>
      <w:r>
        <w:continuationSeparator/>
      </w:r>
    </w:p>
  </w:footnote>
  <w:footnote w:id="1">
    <w:p w14:paraId="1228D2F9" w14:textId="0B83C9C3" w:rsidR="00E713D6" w:rsidRPr="00E713D6" w:rsidRDefault="00E713D6">
      <w:pPr>
        <w:pStyle w:val="FootnoteText"/>
        <w:rPr>
          <w:lang w:val="fr-FR"/>
        </w:rPr>
      </w:pPr>
      <w:r>
        <w:rPr>
          <w:rStyle w:val="FootnoteReference"/>
        </w:rPr>
        <w:footnoteRef/>
      </w:r>
      <w:r>
        <w:t xml:space="preserve"> </w:t>
      </w:r>
      <w:hyperlink r:id="rId1" w:history="1">
        <w:r w:rsidRPr="00911B0F">
          <w:rPr>
            <w:rStyle w:val="Hyperlink"/>
          </w:rPr>
          <w:t>https://www.who.int/publications/i/item/9789240063600</w:t>
        </w:r>
      </w:hyperlink>
      <w:r>
        <w:t xml:space="preserve"> </w:t>
      </w:r>
    </w:p>
  </w:footnote>
  <w:footnote w:id="2">
    <w:p w14:paraId="7D331046" w14:textId="7A385C02" w:rsidR="00393229" w:rsidRPr="00393229" w:rsidRDefault="00393229">
      <w:pPr>
        <w:pStyle w:val="FootnoteText"/>
      </w:pPr>
      <w:r>
        <w:rPr>
          <w:rStyle w:val="FootnoteReference"/>
        </w:rPr>
        <w:footnoteRef/>
      </w:r>
      <w:r w:rsidRPr="00393229">
        <w:rPr>
          <w:lang w:val="en-US"/>
        </w:rPr>
        <w:t xml:space="preserve"> </w:t>
      </w:r>
      <w:r>
        <w:rPr>
          <w:lang w:val="en-US"/>
        </w:rPr>
        <w:t>We use AT as defined in the</w:t>
      </w:r>
      <w:r w:rsidRPr="00393229">
        <w:rPr>
          <w:lang w:val="en-US"/>
        </w:rPr>
        <w:t xml:space="preserve"> UNICEF/WHO </w:t>
      </w:r>
      <w:r w:rsidR="00DB0772" w:rsidRPr="00DB0772">
        <w:rPr>
          <w:lang w:val="en-US"/>
        </w:rPr>
        <w:t>Global Report on Assistive Technology</w:t>
      </w:r>
      <w:r>
        <w:rPr>
          <w:lang w:val="en-US"/>
        </w:rPr>
        <w:t>: “</w:t>
      </w:r>
      <w:r w:rsidRPr="00393229">
        <w:rPr>
          <w:lang w:val="en-US"/>
        </w:rPr>
        <w:t>Assistive technology is an umbrella term for assistive products and their related systems and services</w:t>
      </w:r>
      <w:r>
        <w:rPr>
          <w:lang w:val="en-US"/>
        </w:rPr>
        <w:t xml:space="preserve">.” </w:t>
      </w:r>
    </w:p>
  </w:footnote>
  <w:footnote w:id="3">
    <w:p w14:paraId="434109D4" w14:textId="0DCBB809" w:rsidR="00120D5D" w:rsidRPr="00393229" w:rsidRDefault="00120D5D">
      <w:pPr>
        <w:pStyle w:val="FootnoteText"/>
      </w:pPr>
      <w:r>
        <w:rPr>
          <w:rStyle w:val="FootnoteReference"/>
        </w:rPr>
        <w:footnoteRef/>
      </w:r>
      <w:r w:rsidRPr="00393229">
        <w:t xml:space="preserve"> </w:t>
      </w:r>
      <w:hyperlink r:id="rId2" w:history="1">
        <w:r w:rsidRPr="00393229">
          <w:rPr>
            <w:rStyle w:val="Hyperlink"/>
          </w:rPr>
          <w:t>https://www.who.int/publications/i/item/9789240049451</w:t>
        </w:r>
      </w:hyperlink>
      <w:r w:rsidRPr="00393229">
        <w:t xml:space="preserve"> </w:t>
      </w:r>
    </w:p>
  </w:footnote>
  <w:footnote w:id="4">
    <w:p w14:paraId="182A0BD4" w14:textId="4AA778F6" w:rsidR="00FD51FB" w:rsidRPr="00FD51FB" w:rsidRDefault="00FD51FB">
      <w:pPr>
        <w:pStyle w:val="FootnoteText"/>
        <w:rPr>
          <w:lang w:val="en-US"/>
        </w:rPr>
      </w:pPr>
      <w:r>
        <w:rPr>
          <w:rStyle w:val="FootnoteReference"/>
        </w:rPr>
        <w:footnoteRef/>
      </w:r>
      <w:r>
        <w:t xml:space="preserve"> </w:t>
      </w:r>
      <w:r w:rsidRPr="00FD51FB">
        <w:rPr>
          <w:lang w:val="en-US"/>
        </w:rPr>
        <w:t>The project results have been submitted to</w:t>
      </w:r>
      <w:r w:rsidR="00AC0C1B">
        <w:rPr>
          <w:lang w:val="en-US"/>
        </w:rPr>
        <w:t xml:space="preserve"> AAATE 2023 and will be presented in the Special Thematic Session on </w:t>
      </w:r>
      <w:r w:rsidR="00F46C58">
        <w:rPr>
          <w:lang w:val="en-US"/>
        </w:rPr>
        <w:t>“</w:t>
      </w:r>
      <w:r w:rsidR="00F46C58" w:rsidRPr="00F46C58">
        <w:rPr>
          <w:lang w:val="en-US"/>
        </w:rPr>
        <w:t>The Assistive Potential of Digital Consumer Technology</w:t>
      </w:r>
      <w:r w:rsidR="00F46C58">
        <w:rPr>
          <w:lang w:val="en-US"/>
        </w:rPr>
        <w:t>” in August 2023. A</w:t>
      </w:r>
      <w:r w:rsidRPr="00FD51FB">
        <w:rPr>
          <w:lang w:val="en-US"/>
        </w:rPr>
        <w:t xml:space="preserve"> </w:t>
      </w:r>
      <w:r>
        <w:rPr>
          <w:lang w:val="en-US"/>
        </w:rPr>
        <w:t>reference will be provided as soon as the paper is published</w:t>
      </w:r>
      <w:r w:rsidR="00F46C58">
        <w:rPr>
          <w:lang w:val="en-US"/>
        </w:rPr>
        <w:t xml:space="preserve"> in the conference compendium.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657A" w14:textId="297157ED" w:rsidR="00427B91" w:rsidRDefault="00FE4718">
    <w:pPr>
      <w:pStyle w:val="Header"/>
    </w:pPr>
    <w:r>
      <w:rPr>
        <w:noProof/>
      </w:rPr>
      <w:pict w14:anchorId="7C46E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076" o:spid="_x0000_s2051" type="#_x0000_t136" alt="" style="position:absolute;margin-left:0;margin-top:0;width:556.75pt;height:7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93A3" w14:textId="4D4B6B93" w:rsidR="000607F5" w:rsidRPr="00F94F0A" w:rsidRDefault="00FE4718" w:rsidP="004C7BC3">
    <w:pPr>
      <w:pStyle w:val="Header"/>
      <w:jc w:val="right"/>
      <w:rPr>
        <w:rFonts w:ascii="Arial" w:hAnsi="Arial" w:cs="Arial"/>
        <w:sz w:val="20"/>
        <w:szCs w:val="20"/>
      </w:rPr>
    </w:pPr>
    <w:r>
      <w:rPr>
        <w:noProof/>
      </w:rPr>
      <w:pict w14:anchorId="616AD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077" o:spid="_x0000_s2050" type="#_x0000_t136" alt="" style="position:absolute;left:0;text-align:left;margin-left:0;margin-top:0;width:556.75pt;height:7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For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8812" w14:textId="038529F8" w:rsidR="00427B91" w:rsidRDefault="00FE4718">
    <w:pPr>
      <w:pStyle w:val="Header"/>
    </w:pPr>
    <w:r>
      <w:rPr>
        <w:noProof/>
      </w:rPr>
      <w:pict w14:anchorId="26A7A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075" o:spid="_x0000_s2049" type="#_x0000_t136" alt="" style="position:absolute;margin-left:0;margin-top:0;width:556.75pt;height:7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8BC"/>
    <w:multiLevelType w:val="hybridMultilevel"/>
    <w:tmpl w:val="6700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95156"/>
    <w:multiLevelType w:val="hybridMultilevel"/>
    <w:tmpl w:val="198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2221"/>
    <w:multiLevelType w:val="hybridMultilevel"/>
    <w:tmpl w:val="0988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93D83"/>
    <w:multiLevelType w:val="hybridMultilevel"/>
    <w:tmpl w:val="1C9C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E2867"/>
    <w:multiLevelType w:val="hybridMultilevel"/>
    <w:tmpl w:val="E58E0C90"/>
    <w:lvl w:ilvl="0" w:tplc="80A0F6F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7582C"/>
    <w:multiLevelType w:val="hybridMultilevel"/>
    <w:tmpl w:val="94D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01234"/>
    <w:multiLevelType w:val="hybridMultilevel"/>
    <w:tmpl w:val="13F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116EE"/>
    <w:multiLevelType w:val="hybridMultilevel"/>
    <w:tmpl w:val="9CA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30A1E"/>
    <w:multiLevelType w:val="hybridMultilevel"/>
    <w:tmpl w:val="974C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B0FC6"/>
    <w:multiLevelType w:val="hybridMultilevel"/>
    <w:tmpl w:val="AC78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7678A"/>
    <w:multiLevelType w:val="hybridMultilevel"/>
    <w:tmpl w:val="EB1C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E5C03"/>
    <w:multiLevelType w:val="hybridMultilevel"/>
    <w:tmpl w:val="55BE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1097E"/>
    <w:multiLevelType w:val="hybridMultilevel"/>
    <w:tmpl w:val="BF9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441F5"/>
    <w:multiLevelType w:val="hybridMultilevel"/>
    <w:tmpl w:val="2C9C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6068D"/>
    <w:multiLevelType w:val="hybridMultilevel"/>
    <w:tmpl w:val="CC1AAA56"/>
    <w:lvl w:ilvl="0" w:tplc="3B7684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05EE5"/>
    <w:multiLevelType w:val="hybridMultilevel"/>
    <w:tmpl w:val="A46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600C6"/>
    <w:multiLevelType w:val="hybridMultilevel"/>
    <w:tmpl w:val="DFE8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C14A7"/>
    <w:multiLevelType w:val="hybridMultilevel"/>
    <w:tmpl w:val="E7DC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10"/>
  </w:num>
  <w:num w:numId="6">
    <w:abstractNumId w:val="15"/>
  </w:num>
  <w:num w:numId="7">
    <w:abstractNumId w:val="17"/>
  </w:num>
  <w:num w:numId="8">
    <w:abstractNumId w:val="0"/>
  </w:num>
  <w:num w:numId="9">
    <w:abstractNumId w:val="8"/>
  </w:num>
  <w:num w:numId="10">
    <w:abstractNumId w:val="12"/>
  </w:num>
  <w:num w:numId="11">
    <w:abstractNumId w:val="7"/>
  </w:num>
  <w:num w:numId="12">
    <w:abstractNumId w:val="11"/>
  </w:num>
  <w:num w:numId="13">
    <w:abstractNumId w:val="5"/>
  </w:num>
  <w:num w:numId="14">
    <w:abstractNumId w:val="16"/>
  </w:num>
  <w:num w:numId="15">
    <w:abstractNumId w:val="4"/>
  </w:num>
  <w:num w:numId="16">
    <w:abstractNumId w:val="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sDQxMDY2B7KMDZV0lIJTi4sz8/NACkxrATlAx84sAAAA"/>
  </w:docVars>
  <w:rsids>
    <w:rsidRoot w:val="00722C3F"/>
    <w:rsid w:val="00015AE9"/>
    <w:rsid w:val="00016E6C"/>
    <w:rsid w:val="000247F4"/>
    <w:rsid w:val="000265BC"/>
    <w:rsid w:val="00037B18"/>
    <w:rsid w:val="00055074"/>
    <w:rsid w:val="000572EB"/>
    <w:rsid w:val="000607F5"/>
    <w:rsid w:val="00072991"/>
    <w:rsid w:val="000821A9"/>
    <w:rsid w:val="0008737B"/>
    <w:rsid w:val="000A0D23"/>
    <w:rsid w:val="000C0579"/>
    <w:rsid w:val="000C10CA"/>
    <w:rsid w:val="000C75AD"/>
    <w:rsid w:val="000D1CD0"/>
    <w:rsid w:val="000E19E7"/>
    <w:rsid w:val="000F40A7"/>
    <w:rsid w:val="000F5C91"/>
    <w:rsid w:val="00100753"/>
    <w:rsid w:val="00113E9B"/>
    <w:rsid w:val="00114976"/>
    <w:rsid w:val="00120D5D"/>
    <w:rsid w:val="0012402D"/>
    <w:rsid w:val="00130E0F"/>
    <w:rsid w:val="00155298"/>
    <w:rsid w:val="00161D2D"/>
    <w:rsid w:val="00163AD5"/>
    <w:rsid w:val="00167F93"/>
    <w:rsid w:val="00180C78"/>
    <w:rsid w:val="00182698"/>
    <w:rsid w:val="001A0A41"/>
    <w:rsid w:val="001B54EE"/>
    <w:rsid w:val="001B5514"/>
    <w:rsid w:val="001C0715"/>
    <w:rsid w:val="001E1AE1"/>
    <w:rsid w:val="001E637A"/>
    <w:rsid w:val="001E7416"/>
    <w:rsid w:val="001E7AB8"/>
    <w:rsid w:val="001F329E"/>
    <w:rsid w:val="001F3728"/>
    <w:rsid w:val="0020555E"/>
    <w:rsid w:val="00205BCE"/>
    <w:rsid w:val="002104EA"/>
    <w:rsid w:val="002323FC"/>
    <w:rsid w:val="00236A6E"/>
    <w:rsid w:val="00243B2F"/>
    <w:rsid w:val="00257181"/>
    <w:rsid w:val="0026123C"/>
    <w:rsid w:val="00265036"/>
    <w:rsid w:val="00265C5B"/>
    <w:rsid w:val="002717A7"/>
    <w:rsid w:val="0028672C"/>
    <w:rsid w:val="00292411"/>
    <w:rsid w:val="00292A4F"/>
    <w:rsid w:val="00297F24"/>
    <w:rsid w:val="00297FD2"/>
    <w:rsid w:val="002A6B89"/>
    <w:rsid w:val="002E400E"/>
    <w:rsid w:val="002E6C33"/>
    <w:rsid w:val="002E7B24"/>
    <w:rsid w:val="003033E2"/>
    <w:rsid w:val="003034EE"/>
    <w:rsid w:val="003108B7"/>
    <w:rsid w:val="00316BD1"/>
    <w:rsid w:val="003279C7"/>
    <w:rsid w:val="00346A6E"/>
    <w:rsid w:val="003504E3"/>
    <w:rsid w:val="003528F9"/>
    <w:rsid w:val="003604C7"/>
    <w:rsid w:val="003819E0"/>
    <w:rsid w:val="003857CA"/>
    <w:rsid w:val="00393229"/>
    <w:rsid w:val="003A3F05"/>
    <w:rsid w:val="003E0117"/>
    <w:rsid w:val="003F5076"/>
    <w:rsid w:val="003F553A"/>
    <w:rsid w:val="0041092F"/>
    <w:rsid w:val="00416D95"/>
    <w:rsid w:val="00427B91"/>
    <w:rsid w:val="00436231"/>
    <w:rsid w:val="0044523C"/>
    <w:rsid w:val="00455CA5"/>
    <w:rsid w:val="0046698B"/>
    <w:rsid w:val="004753F5"/>
    <w:rsid w:val="00475BA4"/>
    <w:rsid w:val="004767B0"/>
    <w:rsid w:val="00494A23"/>
    <w:rsid w:val="004B0996"/>
    <w:rsid w:val="004B51E8"/>
    <w:rsid w:val="004B522A"/>
    <w:rsid w:val="004C4300"/>
    <w:rsid w:val="004C5839"/>
    <w:rsid w:val="004C6092"/>
    <w:rsid w:val="004C7BC3"/>
    <w:rsid w:val="004D1C4F"/>
    <w:rsid w:val="004D78CB"/>
    <w:rsid w:val="004E58EC"/>
    <w:rsid w:val="004F2069"/>
    <w:rsid w:val="004F7088"/>
    <w:rsid w:val="005012CC"/>
    <w:rsid w:val="00504A4A"/>
    <w:rsid w:val="00506436"/>
    <w:rsid w:val="00512046"/>
    <w:rsid w:val="00515DA6"/>
    <w:rsid w:val="00527A1A"/>
    <w:rsid w:val="00537101"/>
    <w:rsid w:val="0056110F"/>
    <w:rsid w:val="00562F27"/>
    <w:rsid w:val="00564744"/>
    <w:rsid w:val="0057570A"/>
    <w:rsid w:val="00582AB3"/>
    <w:rsid w:val="00582CE6"/>
    <w:rsid w:val="005853D6"/>
    <w:rsid w:val="00593B48"/>
    <w:rsid w:val="005B4F29"/>
    <w:rsid w:val="005E0A41"/>
    <w:rsid w:val="005E3B8D"/>
    <w:rsid w:val="005E7F51"/>
    <w:rsid w:val="005F1636"/>
    <w:rsid w:val="005F1A96"/>
    <w:rsid w:val="005F5523"/>
    <w:rsid w:val="006064F3"/>
    <w:rsid w:val="0061732E"/>
    <w:rsid w:val="00632B15"/>
    <w:rsid w:val="0064121A"/>
    <w:rsid w:val="00654BE2"/>
    <w:rsid w:val="00656A9E"/>
    <w:rsid w:val="0066334E"/>
    <w:rsid w:val="006758B6"/>
    <w:rsid w:val="00692177"/>
    <w:rsid w:val="00693D1D"/>
    <w:rsid w:val="00696A1E"/>
    <w:rsid w:val="006A166B"/>
    <w:rsid w:val="006A5CBA"/>
    <w:rsid w:val="006B0B7F"/>
    <w:rsid w:val="006C0BDA"/>
    <w:rsid w:val="006E3E87"/>
    <w:rsid w:val="006F148E"/>
    <w:rsid w:val="006F7F02"/>
    <w:rsid w:val="00700C3D"/>
    <w:rsid w:val="00704626"/>
    <w:rsid w:val="00705BCF"/>
    <w:rsid w:val="007119C7"/>
    <w:rsid w:val="007166C0"/>
    <w:rsid w:val="007179EB"/>
    <w:rsid w:val="00722C3F"/>
    <w:rsid w:val="0072359D"/>
    <w:rsid w:val="007278E7"/>
    <w:rsid w:val="0073588F"/>
    <w:rsid w:val="007428FB"/>
    <w:rsid w:val="00766698"/>
    <w:rsid w:val="00767C3F"/>
    <w:rsid w:val="0077199A"/>
    <w:rsid w:val="00775A36"/>
    <w:rsid w:val="007815CB"/>
    <w:rsid w:val="00790753"/>
    <w:rsid w:val="007923D0"/>
    <w:rsid w:val="00794F35"/>
    <w:rsid w:val="00796DFA"/>
    <w:rsid w:val="007A16E6"/>
    <w:rsid w:val="007A4B05"/>
    <w:rsid w:val="007C4225"/>
    <w:rsid w:val="007C758C"/>
    <w:rsid w:val="007D0B6D"/>
    <w:rsid w:val="007F38C9"/>
    <w:rsid w:val="007F4691"/>
    <w:rsid w:val="00826C9C"/>
    <w:rsid w:val="00830ED3"/>
    <w:rsid w:val="0083362C"/>
    <w:rsid w:val="00872535"/>
    <w:rsid w:val="008B37F9"/>
    <w:rsid w:val="008B7F4E"/>
    <w:rsid w:val="008C6CCF"/>
    <w:rsid w:val="008D1FB1"/>
    <w:rsid w:val="008D3031"/>
    <w:rsid w:val="008E6081"/>
    <w:rsid w:val="008F5645"/>
    <w:rsid w:val="008F70C0"/>
    <w:rsid w:val="009046CE"/>
    <w:rsid w:val="0091115E"/>
    <w:rsid w:val="00914DA8"/>
    <w:rsid w:val="009276CD"/>
    <w:rsid w:val="00930308"/>
    <w:rsid w:val="009320EC"/>
    <w:rsid w:val="00943DAB"/>
    <w:rsid w:val="00945617"/>
    <w:rsid w:val="0096414E"/>
    <w:rsid w:val="00984416"/>
    <w:rsid w:val="00984C5E"/>
    <w:rsid w:val="009901E2"/>
    <w:rsid w:val="00993E92"/>
    <w:rsid w:val="009A1411"/>
    <w:rsid w:val="009A6018"/>
    <w:rsid w:val="009B35B7"/>
    <w:rsid w:val="009C3CC1"/>
    <w:rsid w:val="009C64CD"/>
    <w:rsid w:val="009D589D"/>
    <w:rsid w:val="009E692A"/>
    <w:rsid w:val="009F2BB0"/>
    <w:rsid w:val="009F7D35"/>
    <w:rsid w:val="00A149BD"/>
    <w:rsid w:val="00A2400F"/>
    <w:rsid w:val="00A76D84"/>
    <w:rsid w:val="00A77C2F"/>
    <w:rsid w:val="00AA4BC8"/>
    <w:rsid w:val="00AC0C1B"/>
    <w:rsid w:val="00AC1A2D"/>
    <w:rsid w:val="00AC7AD7"/>
    <w:rsid w:val="00AD1BE7"/>
    <w:rsid w:val="00AD3B9A"/>
    <w:rsid w:val="00B220EC"/>
    <w:rsid w:val="00B24166"/>
    <w:rsid w:val="00B2512A"/>
    <w:rsid w:val="00B27264"/>
    <w:rsid w:val="00B30F6B"/>
    <w:rsid w:val="00B41EA5"/>
    <w:rsid w:val="00B650BB"/>
    <w:rsid w:val="00B66E9C"/>
    <w:rsid w:val="00B728BA"/>
    <w:rsid w:val="00B774F5"/>
    <w:rsid w:val="00BB6478"/>
    <w:rsid w:val="00BC033A"/>
    <w:rsid w:val="00BC3917"/>
    <w:rsid w:val="00BC42C2"/>
    <w:rsid w:val="00BD530C"/>
    <w:rsid w:val="00BD74A7"/>
    <w:rsid w:val="00BE17E0"/>
    <w:rsid w:val="00BE60AF"/>
    <w:rsid w:val="00BF45DB"/>
    <w:rsid w:val="00C003D0"/>
    <w:rsid w:val="00C05A17"/>
    <w:rsid w:val="00C1553F"/>
    <w:rsid w:val="00C155AD"/>
    <w:rsid w:val="00C34022"/>
    <w:rsid w:val="00C5237F"/>
    <w:rsid w:val="00C54755"/>
    <w:rsid w:val="00C70C2F"/>
    <w:rsid w:val="00CA4001"/>
    <w:rsid w:val="00CA6D71"/>
    <w:rsid w:val="00CB282B"/>
    <w:rsid w:val="00CD43FA"/>
    <w:rsid w:val="00CD625C"/>
    <w:rsid w:val="00CE5F37"/>
    <w:rsid w:val="00CF5EDE"/>
    <w:rsid w:val="00D00E52"/>
    <w:rsid w:val="00D032F1"/>
    <w:rsid w:val="00D17812"/>
    <w:rsid w:val="00D337FA"/>
    <w:rsid w:val="00D36530"/>
    <w:rsid w:val="00D40DED"/>
    <w:rsid w:val="00D43FF5"/>
    <w:rsid w:val="00D55F30"/>
    <w:rsid w:val="00D672D4"/>
    <w:rsid w:val="00D70559"/>
    <w:rsid w:val="00D73ED3"/>
    <w:rsid w:val="00D7624D"/>
    <w:rsid w:val="00D8499B"/>
    <w:rsid w:val="00D86F01"/>
    <w:rsid w:val="00D962B4"/>
    <w:rsid w:val="00DA3164"/>
    <w:rsid w:val="00DA5DAA"/>
    <w:rsid w:val="00DB0772"/>
    <w:rsid w:val="00DC4B05"/>
    <w:rsid w:val="00DD4934"/>
    <w:rsid w:val="00DD50B3"/>
    <w:rsid w:val="00DD5E9D"/>
    <w:rsid w:val="00DE4630"/>
    <w:rsid w:val="00DF2602"/>
    <w:rsid w:val="00DF3535"/>
    <w:rsid w:val="00E00302"/>
    <w:rsid w:val="00E02BF0"/>
    <w:rsid w:val="00E11D67"/>
    <w:rsid w:val="00E16E02"/>
    <w:rsid w:val="00E21311"/>
    <w:rsid w:val="00E2588F"/>
    <w:rsid w:val="00E27A8E"/>
    <w:rsid w:val="00E431F0"/>
    <w:rsid w:val="00E43236"/>
    <w:rsid w:val="00E65623"/>
    <w:rsid w:val="00E708B0"/>
    <w:rsid w:val="00E70E6E"/>
    <w:rsid w:val="00E713D6"/>
    <w:rsid w:val="00E758B2"/>
    <w:rsid w:val="00E83F77"/>
    <w:rsid w:val="00E94291"/>
    <w:rsid w:val="00EB0A83"/>
    <w:rsid w:val="00EB3BB7"/>
    <w:rsid w:val="00EB4A74"/>
    <w:rsid w:val="00EC063A"/>
    <w:rsid w:val="00EC3E7C"/>
    <w:rsid w:val="00ED1EE2"/>
    <w:rsid w:val="00EE2629"/>
    <w:rsid w:val="00F166A3"/>
    <w:rsid w:val="00F201A0"/>
    <w:rsid w:val="00F21E29"/>
    <w:rsid w:val="00F3250B"/>
    <w:rsid w:val="00F40ABB"/>
    <w:rsid w:val="00F46C58"/>
    <w:rsid w:val="00F47A21"/>
    <w:rsid w:val="00F634FB"/>
    <w:rsid w:val="00F71383"/>
    <w:rsid w:val="00F72F0A"/>
    <w:rsid w:val="00F73E31"/>
    <w:rsid w:val="00F7600D"/>
    <w:rsid w:val="00F94F0A"/>
    <w:rsid w:val="00F96DD0"/>
    <w:rsid w:val="00FA0C60"/>
    <w:rsid w:val="00FB7FA5"/>
    <w:rsid w:val="00FD2910"/>
    <w:rsid w:val="00FD51FB"/>
    <w:rsid w:val="00FE4718"/>
    <w:rsid w:val="00FF1CAE"/>
    <w:rsid w:val="00FF3066"/>
    <w:rsid w:val="00FF61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DF6090"/>
  <w15:chartTrackingRefBased/>
  <w15:docId w15:val="{9F3EADD2-5B22-4BFE-970A-8E372875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B48"/>
    <w:pPr>
      <w:keepNext/>
      <w:keepLines/>
      <w:spacing w:before="24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593B48"/>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758C"/>
    <w:pPr>
      <w:keepNext/>
      <w:keepLines/>
      <w:spacing w:before="40" w:after="0"/>
      <w:outlineLvl w:val="2"/>
    </w:pPr>
    <w:rPr>
      <w:rFonts w:ascii="Arial" w:eastAsiaTheme="majorEastAsia" w:hAnsi="Arial"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C3F"/>
    <w:pPr>
      <w:ind w:left="720"/>
      <w:contextualSpacing/>
    </w:pPr>
  </w:style>
  <w:style w:type="character" w:customStyle="1" w:styleId="Heading1Char">
    <w:name w:val="Heading 1 Char"/>
    <w:basedOn w:val="DefaultParagraphFont"/>
    <w:link w:val="Heading1"/>
    <w:uiPriority w:val="9"/>
    <w:rsid w:val="00593B48"/>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4B0996"/>
    <w:rPr>
      <w:sz w:val="16"/>
      <w:szCs w:val="16"/>
    </w:rPr>
  </w:style>
  <w:style w:type="paragraph" w:styleId="CommentText">
    <w:name w:val="annotation text"/>
    <w:basedOn w:val="Normal"/>
    <w:link w:val="CommentTextChar"/>
    <w:uiPriority w:val="99"/>
    <w:semiHidden/>
    <w:unhideWhenUsed/>
    <w:rsid w:val="004B0996"/>
    <w:pPr>
      <w:spacing w:line="240" w:lineRule="auto"/>
    </w:pPr>
    <w:rPr>
      <w:sz w:val="20"/>
      <w:szCs w:val="20"/>
    </w:rPr>
  </w:style>
  <w:style w:type="character" w:customStyle="1" w:styleId="CommentTextChar">
    <w:name w:val="Comment Text Char"/>
    <w:basedOn w:val="DefaultParagraphFont"/>
    <w:link w:val="CommentText"/>
    <w:uiPriority w:val="99"/>
    <w:semiHidden/>
    <w:rsid w:val="004B0996"/>
    <w:rPr>
      <w:sz w:val="20"/>
      <w:szCs w:val="20"/>
    </w:rPr>
  </w:style>
  <w:style w:type="paragraph" w:styleId="CommentSubject">
    <w:name w:val="annotation subject"/>
    <w:basedOn w:val="CommentText"/>
    <w:next w:val="CommentText"/>
    <w:link w:val="CommentSubjectChar"/>
    <w:uiPriority w:val="99"/>
    <w:semiHidden/>
    <w:unhideWhenUsed/>
    <w:rsid w:val="004B0996"/>
    <w:rPr>
      <w:b/>
      <w:bCs/>
    </w:rPr>
  </w:style>
  <w:style w:type="character" w:customStyle="1" w:styleId="CommentSubjectChar">
    <w:name w:val="Comment Subject Char"/>
    <w:basedOn w:val="CommentTextChar"/>
    <w:link w:val="CommentSubject"/>
    <w:uiPriority w:val="99"/>
    <w:semiHidden/>
    <w:rsid w:val="004B0996"/>
    <w:rPr>
      <w:b/>
      <w:bCs/>
      <w:sz w:val="20"/>
      <w:szCs w:val="20"/>
    </w:rPr>
  </w:style>
  <w:style w:type="paragraph" w:styleId="BalloonText">
    <w:name w:val="Balloon Text"/>
    <w:basedOn w:val="Normal"/>
    <w:link w:val="BalloonTextChar"/>
    <w:uiPriority w:val="99"/>
    <w:semiHidden/>
    <w:unhideWhenUsed/>
    <w:rsid w:val="004B09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996"/>
    <w:rPr>
      <w:rFonts w:ascii="Times New Roman" w:hAnsi="Times New Roman" w:cs="Times New Roman"/>
      <w:sz w:val="18"/>
      <w:szCs w:val="18"/>
    </w:rPr>
  </w:style>
  <w:style w:type="paragraph" w:styleId="Revision">
    <w:name w:val="Revision"/>
    <w:hidden/>
    <w:uiPriority w:val="99"/>
    <w:semiHidden/>
    <w:rsid w:val="00BC42C2"/>
    <w:pPr>
      <w:spacing w:after="0" w:line="240" w:lineRule="auto"/>
    </w:pPr>
  </w:style>
  <w:style w:type="character" w:styleId="Hyperlink">
    <w:name w:val="Hyperlink"/>
    <w:basedOn w:val="DefaultParagraphFont"/>
    <w:uiPriority w:val="99"/>
    <w:unhideWhenUsed/>
    <w:rsid w:val="005F1A96"/>
    <w:rPr>
      <w:color w:val="0563C1" w:themeColor="hyperlink"/>
      <w:u w:val="single"/>
    </w:rPr>
  </w:style>
  <w:style w:type="character" w:styleId="UnresolvedMention">
    <w:name w:val="Unresolved Mention"/>
    <w:basedOn w:val="DefaultParagraphFont"/>
    <w:uiPriority w:val="99"/>
    <w:semiHidden/>
    <w:unhideWhenUsed/>
    <w:rsid w:val="005F1A96"/>
    <w:rPr>
      <w:color w:val="605E5C"/>
      <w:shd w:val="clear" w:color="auto" w:fill="E1DFDD"/>
    </w:rPr>
  </w:style>
  <w:style w:type="paragraph" w:styleId="Header">
    <w:name w:val="header"/>
    <w:basedOn w:val="Normal"/>
    <w:link w:val="HeaderChar"/>
    <w:uiPriority w:val="99"/>
    <w:unhideWhenUsed/>
    <w:rsid w:val="00060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F5"/>
  </w:style>
  <w:style w:type="paragraph" w:styleId="Footer">
    <w:name w:val="footer"/>
    <w:basedOn w:val="Normal"/>
    <w:link w:val="FooterChar"/>
    <w:uiPriority w:val="99"/>
    <w:unhideWhenUsed/>
    <w:rsid w:val="00060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F5"/>
  </w:style>
  <w:style w:type="paragraph" w:styleId="Title">
    <w:name w:val="Title"/>
    <w:basedOn w:val="Normal"/>
    <w:next w:val="Normal"/>
    <w:link w:val="TitleChar"/>
    <w:uiPriority w:val="10"/>
    <w:qFormat/>
    <w:rsid w:val="00CD43FA"/>
    <w:pPr>
      <w:spacing w:after="0" w:line="240" w:lineRule="auto"/>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CD43FA"/>
    <w:rPr>
      <w:rFonts w:ascii="Arial" w:eastAsiaTheme="majorEastAsia" w:hAnsi="Arial" w:cstheme="majorBidi"/>
      <w:spacing w:val="-10"/>
      <w:kern w:val="28"/>
      <w:sz w:val="48"/>
      <w:szCs w:val="56"/>
    </w:rPr>
  </w:style>
  <w:style w:type="character" w:customStyle="1" w:styleId="Heading2Char">
    <w:name w:val="Heading 2 Char"/>
    <w:basedOn w:val="DefaultParagraphFont"/>
    <w:link w:val="Heading2"/>
    <w:uiPriority w:val="9"/>
    <w:rsid w:val="00593B48"/>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7C758C"/>
    <w:rPr>
      <w:rFonts w:ascii="Arial" w:eastAsiaTheme="majorEastAsia" w:hAnsi="Arial" w:cstheme="majorBidi"/>
      <w:color w:val="1F3763" w:themeColor="accent1" w:themeShade="7F"/>
      <w:sz w:val="24"/>
      <w:szCs w:val="24"/>
    </w:rPr>
  </w:style>
  <w:style w:type="paragraph" w:styleId="NormalWeb">
    <w:name w:val="Normal (Web)"/>
    <w:basedOn w:val="Normal"/>
    <w:uiPriority w:val="99"/>
    <w:semiHidden/>
    <w:unhideWhenUsed/>
    <w:rsid w:val="009E692A"/>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71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3D6"/>
    <w:rPr>
      <w:sz w:val="20"/>
      <w:szCs w:val="20"/>
    </w:rPr>
  </w:style>
  <w:style w:type="character" w:styleId="FootnoteReference">
    <w:name w:val="footnote reference"/>
    <w:basedOn w:val="DefaultParagraphFont"/>
    <w:uiPriority w:val="99"/>
    <w:semiHidden/>
    <w:unhideWhenUsed/>
    <w:rsid w:val="00E713D6"/>
    <w:rPr>
      <w:vertAlign w:val="superscript"/>
    </w:rPr>
  </w:style>
  <w:style w:type="character" w:styleId="FollowedHyperlink">
    <w:name w:val="FollowedHyperlink"/>
    <w:basedOn w:val="DefaultParagraphFont"/>
    <w:uiPriority w:val="99"/>
    <w:semiHidden/>
    <w:unhideWhenUsed/>
    <w:rsid w:val="00E16E02"/>
    <w:rPr>
      <w:color w:val="954F72" w:themeColor="followedHyperlink"/>
      <w:u w:val="single"/>
    </w:rPr>
  </w:style>
  <w:style w:type="paragraph" w:customStyle="1" w:styleId="GATEBody1">
    <w:name w:val="GATE Body 1"/>
    <w:basedOn w:val="Normal"/>
    <w:link w:val="GATEBody1Char"/>
    <w:qFormat/>
    <w:rsid w:val="004C4300"/>
    <w:pPr>
      <w:tabs>
        <w:tab w:val="left" w:pos="3097"/>
      </w:tabs>
      <w:spacing w:line="240" w:lineRule="auto"/>
    </w:pPr>
    <w:rPr>
      <w:rFonts w:ascii="Arial" w:eastAsiaTheme="minorHAnsi" w:hAnsi="Arial"/>
      <w:lang w:eastAsia="en-US"/>
    </w:rPr>
  </w:style>
  <w:style w:type="character" w:customStyle="1" w:styleId="GATEBody1Char">
    <w:name w:val="GATE Body 1 Char"/>
    <w:basedOn w:val="DefaultParagraphFont"/>
    <w:link w:val="GATEBody1"/>
    <w:rsid w:val="004C4300"/>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4946">
      <w:bodyDiv w:val="1"/>
      <w:marLeft w:val="0"/>
      <w:marRight w:val="0"/>
      <w:marTop w:val="0"/>
      <w:marBottom w:val="0"/>
      <w:divBdr>
        <w:top w:val="none" w:sz="0" w:space="0" w:color="auto"/>
        <w:left w:val="none" w:sz="0" w:space="0" w:color="auto"/>
        <w:bottom w:val="none" w:sz="0" w:space="0" w:color="auto"/>
        <w:right w:val="none" w:sz="0" w:space="0" w:color="auto"/>
      </w:divBdr>
    </w:div>
    <w:div w:id="71465819">
      <w:bodyDiv w:val="1"/>
      <w:marLeft w:val="0"/>
      <w:marRight w:val="0"/>
      <w:marTop w:val="0"/>
      <w:marBottom w:val="0"/>
      <w:divBdr>
        <w:top w:val="none" w:sz="0" w:space="0" w:color="auto"/>
        <w:left w:val="none" w:sz="0" w:space="0" w:color="auto"/>
        <w:bottom w:val="none" w:sz="0" w:space="0" w:color="auto"/>
        <w:right w:val="none" w:sz="0" w:space="0" w:color="auto"/>
      </w:divBdr>
      <w:divsChild>
        <w:div w:id="559749268">
          <w:marLeft w:val="0"/>
          <w:marRight w:val="0"/>
          <w:marTop w:val="0"/>
          <w:marBottom w:val="0"/>
          <w:divBdr>
            <w:top w:val="none" w:sz="0" w:space="0" w:color="auto"/>
            <w:left w:val="none" w:sz="0" w:space="0" w:color="auto"/>
            <w:bottom w:val="none" w:sz="0" w:space="0" w:color="auto"/>
            <w:right w:val="none" w:sz="0" w:space="0" w:color="auto"/>
          </w:divBdr>
          <w:divsChild>
            <w:div w:id="1961380093">
              <w:marLeft w:val="0"/>
              <w:marRight w:val="0"/>
              <w:marTop w:val="0"/>
              <w:marBottom w:val="0"/>
              <w:divBdr>
                <w:top w:val="none" w:sz="0" w:space="0" w:color="auto"/>
                <w:left w:val="none" w:sz="0" w:space="0" w:color="auto"/>
                <w:bottom w:val="none" w:sz="0" w:space="0" w:color="auto"/>
                <w:right w:val="none" w:sz="0" w:space="0" w:color="auto"/>
              </w:divBdr>
              <w:divsChild>
                <w:div w:id="771627079">
                  <w:marLeft w:val="0"/>
                  <w:marRight w:val="0"/>
                  <w:marTop w:val="0"/>
                  <w:marBottom w:val="0"/>
                  <w:divBdr>
                    <w:top w:val="none" w:sz="0" w:space="0" w:color="auto"/>
                    <w:left w:val="none" w:sz="0" w:space="0" w:color="auto"/>
                    <w:bottom w:val="none" w:sz="0" w:space="0" w:color="auto"/>
                    <w:right w:val="none" w:sz="0" w:space="0" w:color="auto"/>
                  </w:divBdr>
                  <w:divsChild>
                    <w:div w:id="14555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5611">
      <w:bodyDiv w:val="1"/>
      <w:marLeft w:val="0"/>
      <w:marRight w:val="0"/>
      <w:marTop w:val="0"/>
      <w:marBottom w:val="0"/>
      <w:divBdr>
        <w:top w:val="none" w:sz="0" w:space="0" w:color="auto"/>
        <w:left w:val="none" w:sz="0" w:space="0" w:color="auto"/>
        <w:bottom w:val="none" w:sz="0" w:space="0" w:color="auto"/>
        <w:right w:val="none" w:sz="0" w:space="0" w:color="auto"/>
      </w:divBdr>
    </w:div>
    <w:div w:id="305820271">
      <w:bodyDiv w:val="1"/>
      <w:marLeft w:val="0"/>
      <w:marRight w:val="0"/>
      <w:marTop w:val="0"/>
      <w:marBottom w:val="0"/>
      <w:divBdr>
        <w:top w:val="none" w:sz="0" w:space="0" w:color="auto"/>
        <w:left w:val="none" w:sz="0" w:space="0" w:color="auto"/>
        <w:bottom w:val="none" w:sz="0" w:space="0" w:color="auto"/>
        <w:right w:val="none" w:sz="0" w:space="0" w:color="auto"/>
      </w:divBdr>
      <w:divsChild>
        <w:div w:id="575627982">
          <w:marLeft w:val="0"/>
          <w:marRight w:val="0"/>
          <w:marTop w:val="0"/>
          <w:marBottom w:val="0"/>
          <w:divBdr>
            <w:top w:val="none" w:sz="0" w:space="0" w:color="auto"/>
            <w:left w:val="none" w:sz="0" w:space="0" w:color="auto"/>
            <w:bottom w:val="none" w:sz="0" w:space="0" w:color="auto"/>
            <w:right w:val="none" w:sz="0" w:space="0" w:color="auto"/>
          </w:divBdr>
          <w:divsChild>
            <w:div w:id="1498106122">
              <w:marLeft w:val="0"/>
              <w:marRight w:val="0"/>
              <w:marTop w:val="0"/>
              <w:marBottom w:val="0"/>
              <w:divBdr>
                <w:top w:val="none" w:sz="0" w:space="0" w:color="auto"/>
                <w:left w:val="none" w:sz="0" w:space="0" w:color="auto"/>
                <w:bottom w:val="none" w:sz="0" w:space="0" w:color="auto"/>
                <w:right w:val="none" w:sz="0" w:space="0" w:color="auto"/>
              </w:divBdr>
              <w:divsChild>
                <w:div w:id="1462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5488">
      <w:bodyDiv w:val="1"/>
      <w:marLeft w:val="0"/>
      <w:marRight w:val="0"/>
      <w:marTop w:val="0"/>
      <w:marBottom w:val="0"/>
      <w:divBdr>
        <w:top w:val="none" w:sz="0" w:space="0" w:color="auto"/>
        <w:left w:val="none" w:sz="0" w:space="0" w:color="auto"/>
        <w:bottom w:val="none" w:sz="0" w:space="0" w:color="auto"/>
        <w:right w:val="none" w:sz="0" w:space="0" w:color="auto"/>
      </w:divBdr>
    </w:div>
    <w:div w:id="596527020">
      <w:bodyDiv w:val="1"/>
      <w:marLeft w:val="0"/>
      <w:marRight w:val="0"/>
      <w:marTop w:val="0"/>
      <w:marBottom w:val="0"/>
      <w:divBdr>
        <w:top w:val="none" w:sz="0" w:space="0" w:color="auto"/>
        <w:left w:val="none" w:sz="0" w:space="0" w:color="auto"/>
        <w:bottom w:val="none" w:sz="0" w:space="0" w:color="auto"/>
        <w:right w:val="none" w:sz="0" w:space="0" w:color="auto"/>
      </w:divBdr>
    </w:div>
    <w:div w:id="662439897">
      <w:bodyDiv w:val="1"/>
      <w:marLeft w:val="0"/>
      <w:marRight w:val="0"/>
      <w:marTop w:val="0"/>
      <w:marBottom w:val="0"/>
      <w:divBdr>
        <w:top w:val="none" w:sz="0" w:space="0" w:color="auto"/>
        <w:left w:val="none" w:sz="0" w:space="0" w:color="auto"/>
        <w:bottom w:val="none" w:sz="0" w:space="0" w:color="auto"/>
        <w:right w:val="none" w:sz="0" w:space="0" w:color="auto"/>
      </w:divBdr>
    </w:div>
    <w:div w:id="763454282">
      <w:bodyDiv w:val="1"/>
      <w:marLeft w:val="0"/>
      <w:marRight w:val="0"/>
      <w:marTop w:val="0"/>
      <w:marBottom w:val="0"/>
      <w:divBdr>
        <w:top w:val="none" w:sz="0" w:space="0" w:color="auto"/>
        <w:left w:val="none" w:sz="0" w:space="0" w:color="auto"/>
        <w:bottom w:val="none" w:sz="0" w:space="0" w:color="auto"/>
        <w:right w:val="none" w:sz="0" w:space="0" w:color="auto"/>
      </w:divBdr>
    </w:div>
    <w:div w:id="930889305">
      <w:bodyDiv w:val="1"/>
      <w:marLeft w:val="0"/>
      <w:marRight w:val="0"/>
      <w:marTop w:val="0"/>
      <w:marBottom w:val="0"/>
      <w:divBdr>
        <w:top w:val="none" w:sz="0" w:space="0" w:color="auto"/>
        <w:left w:val="none" w:sz="0" w:space="0" w:color="auto"/>
        <w:bottom w:val="none" w:sz="0" w:space="0" w:color="auto"/>
        <w:right w:val="none" w:sz="0" w:space="0" w:color="auto"/>
      </w:divBdr>
      <w:divsChild>
        <w:div w:id="1017577917">
          <w:marLeft w:val="0"/>
          <w:marRight w:val="0"/>
          <w:marTop w:val="0"/>
          <w:marBottom w:val="0"/>
          <w:divBdr>
            <w:top w:val="none" w:sz="0" w:space="0" w:color="auto"/>
            <w:left w:val="none" w:sz="0" w:space="0" w:color="auto"/>
            <w:bottom w:val="none" w:sz="0" w:space="0" w:color="auto"/>
            <w:right w:val="none" w:sz="0" w:space="0" w:color="auto"/>
          </w:divBdr>
          <w:divsChild>
            <w:div w:id="1149899719">
              <w:marLeft w:val="0"/>
              <w:marRight w:val="0"/>
              <w:marTop w:val="0"/>
              <w:marBottom w:val="0"/>
              <w:divBdr>
                <w:top w:val="none" w:sz="0" w:space="0" w:color="auto"/>
                <w:left w:val="none" w:sz="0" w:space="0" w:color="auto"/>
                <w:bottom w:val="none" w:sz="0" w:space="0" w:color="auto"/>
                <w:right w:val="none" w:sz="0" w:space="0" w:color="auto"/>
              </w:divBdr>
              <w:divsChild>
                <w:div w:id="755981650">
                  <w:marLeft w:val="0"/>
                  <w:marRight w:val="0"/>
                  <w:marTop w:val="0"/>
                  <w:marBottom w:val="0"/>
                  <w:divBdr>
                    <w:top w:val="none" w:sz="0" w:space="0" w:color="auto"/>
                    <w:left w:val="none" w:sz="0" w:space="0" w:color="auto"/>
                    <w:bottom w:val="none" w:sz="0" w:space="0" w:color="auto"/>
                    <w:right w:val="none" w:sz="0" w:space="0" w:color="auto"/>
                  </w:divBdr>
                  <w:divsChild>
                    <w:div w:id="2105492349">
                      <w:marLeft w:val="0"/>
                      <w:marRight w:val="0"/>
                      <w:marTop w:val="0"/>
                      <w:marBottom w:val="0"/>
                      <w:divBdr>
                        <w:top w:val="none" w:sz="0" w:space="0" w:color="auto"/>
                        <w:left w:val="none" w:sz="0" w:space="0" w:color="auto"/>
                        <w:bottom w:val="none" w:sz="0" w:space="0" w:color="auto"/>
                        <w:right w:val="none" w:sz="0" w:space="0" w:color="auto"/>
                      </w:divBdr>
                      <w:divsChild>
                        <w:div w:id="5960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9392">
                  <w:marLeft w:val="0"/>
                  <w:marRight w:val="0"/>
                  <w:marTop w:val="0"/>
                  <w:marBottom w:val="0"/>
                  <w:divBdr>
                    <w:top w:val="none" w:sz="0" w:space="0" w:color="auto"/>
                    <w:left w:val="none" w:sz="0" w:space="0" w:color="auto"/>
                    <w:bottom w:val="none" w:sz="0" w:space="0" w:color="auto"/>
                    <w:right w:val="none" w:sz="0" w:space="0" w:color="auto"/>
                  </w:divBdr>
                  <w:divsChild>
                    <w:div w:id="109134968">
                      <w:marLeft w:val="0"/>
                      <w:marRight w:val="0"/>
                      <w:marTop w:val="0"/>
                      <w:marBottom w:val="0"/>
                      <w:divBdr>
                        <w:top w:val="none" w:sz="0" w:space="0" w:color="auto"/>
                        <w:left w:val="none" w:sz="0" w:space="0" w:color="auto"/>
                        <w:bottom w:val="none" w:sz="0" w:space="0" w:color="auto"/>
                        <w:right w:val="none" w:sz="0" w:space="0" w:color="auto"/>
                      </w:divBdr>
                      <w:divsChild>
                        <w:div w:id="7747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29574">
      <w:bodyDiv w:val="1"/>
      <w:marLeft w:val="0"/>
      <w:marRight w:val="0"/>
      <w:marTop w:val="0"/>
      <w:marBottom w:val="0"/>
      <w:divBdr>
        <w:top w:val="none" w:sz="0" w:space="0" w:color="auto"/>
        <w:left w:val="none" w:sz="0" w:space="0" w:color="auto"/>
        <w:bottom w:val="none" w:sz="0" w:space="0" w:color="auto"/>
        <w:right w:val="none" w:sz="0" w:space="0" w:color="auto"/>
      </w:divBdr>
    </w:div>
    <w:div w:id="1289047068">
      <w:bodyDiv w:val="1"/>
      <w:marLeft w:val="0"/>
      <w:marRight w:val="0"/>
      <w:marTop w:val="0"/>
      <w:marBottom w:val="0"/>
      <w:divBdr>
        <w:top w:val="none" w:sz="0" w:space="0" w:color="auto"/>
        <w:left w:val="none" w:sz="0" w:space="0" w:color="auto"/>
        <w:bottom w:val="none" w:sz="0" w:space="0" w:color="auto"/>
        <w:right w:val="none" w:sz="0" w:space="0" w:color="auto"/>
      </w:divBdr>
    </w:div>
    <w:div w:id="1341155142">
      <w:bodyDiv w:val="1"/>
      <w:marLeft w:val="0"/>
      <w:marRight w:val="0"/>
      <w:marTop w:val="0"/>
      <w:marBottom w:val="0"/>
      <w:divBdr>
        <w:top w:val="none" w:sz="0" w:space="0" w:color="auto"/>
        <w:left w:val="none" w:sz="0" w:space="0" w:color="auto"/>
        <w:bottom w:val="none" w:sz="0" w:space="0" w:color="auto"/>
        <w:right w:val="none" w:sz="0" w:space="0" w:color="auto"/>
      </w:divBdr>
      <w:divsChild>
        <w:div w:id="1633972741">
          <w:marLeft w:val="0"/>
          <w:marRight w:val="0"/>
          <w:marTop w:val="0"/>
          <w:marBottom w:val="0"/>
          <w:divBdr>
            <w:top w:val="none" w:sz="0" w:space="0" w:color="auto"/>
            <w:left w:val="none" w:sz="0" w:space="0" w:color="auto"/>
            <w:bottom w:val="none" w:sz="0" w:space="0" w:color="auto"/>
            <w:right w:val="none" w:sz="0" w:space="0" w:color="auto"/>
          </w:divBdr>
          <w:divsChild>
            <w:div w:id="1128469578">
              <w:marLeft w:val="0"/>
              <w:marRight w:val="0"/>
              <w:marTop w:val="0"/>
              <w:marBottom w:val="0"/>
              <w:divBdr>
                <w:top w:val="none" w:sz="0" w:space="0" w:color="auto"/>
                <w:left w:val="none" w:sz="0" w:space="0" w:color="auto"/>
                <w:bottom w:val="none" w:sz="0" w:space="0" w:color="auto"/>
                <w:right w:val="none" w:sz="0" w:space="0" w:color="auto"/>
              </w:divBdr>
              <w:divsChild>
                <w:div w:id="1485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1443">
      <w:bodyDiv w:val="1"/>
      <w:marLeft w:val="0"/>
      <w:marRight w:val="0"/>
      <w:marTop w:val="0"/>
      <w:marBottom w:val="0"/>
      <w:divBdr>
        <w:top w:val="none" w:sz="0" w:space="0" w:color="auto"/>
        <w:left w:val="none" w:sz="0" w:space="0" w:color="auto"/>
        <w:bottom w:val="none" w:sz="0" w:space="0" w:color="auto"/>
        <w:right w:val="none" w:sz="0" w:space="0" w:color="auto"/>
      </w:divBdr>
    </w:div>
    <w:div w:id="1562130456">
      <w:bodyDiv w:val="1"/>
      <w:marLeft w:val="0"/>
      <w:marRight w:val="0"/>
      <w:marTop w:val="0"/>
      <w:marBottom w:val="0"/>
      <w:divBdr>
        <w:top w:val="none" w:sz="0" w:space="0" w:color="auto"/>
        <w:left w:val="none" w:sz="0" w:space="0" w:color="auto"/>
        <w:bottom w:val="none" w:sz="0" w:space="0" w:color="auto"/>
        <w:right w:val="none" w:sz="0" w:space="0" w:color="auto"/>
      </w:divBdr>
      <w:divsChild>
        <w:div w:id="1673802581">
          <w:marLeft w:val="0"/>
          <w:marRight w:val="0"/>
          <w:marTop w:val="0"/>
          <w:marBottom w:val="0"/>
          <w:divBdr>
            <w:top w:val="none" w:sz="0" w:space="0" w:color="auto"/>
            <w:left w:val="none" w:sz="0" w:space="0" w:color="auto"/>
            <w:bottom w:val="none" w:sz="0" w:space="0" w:color="auto"/>
            <w:right w:val="none" w:sz="0" w:space="0" w:color="auto"/>
          </w:divBdr>
          <w:divsChild>
            <w:div w:id="1174344454">
              <w:marLeft w:val="0"/>
              <w:marRight w:val="0"/>
              <w:marTop w:val="0"/>
              <w:marBottom w:val="0"/>
              <w:divBdr>
                <w:top w:val="none" w:sz="0" w:space="0" w:color="auto"/>
                <w:left w:val="none" w:sz="0" w:space="0" w:color="auto"/>
                <w:bottom w:val="none" w:sz="0" w:space="0" w:color="auto"/>
                <w:right w:val="none" w:sz="0" w:space="0" w:color="auto"/>
              </w:divBdr>
              <w:divsChild>
                <w:div w:id="425805067">
                  <w:marLeft w:val="0"/>
                  <w:marRight w:val="0"/>
                  <w:marTop w:val="0"/>
                  <w:marBottom w:val="0"/>
                  <w:divBdr>
                    <w:top w:val="none" w:sz="0" w:space="0" w:color="auto"/>
                    <w:left w:val="none" w:sz="0" w:space="0" w:color="auto"/>
                    <w:bottom w:val="none" w:sz="0" w:space="0" w:color="auto"/>
                    <w:right w:val="none" w:sz="0" w:space="0" w:color="auto"/>
                  </w:divBdr>
                  <w:divsChild>
                    <w:div w:id="15181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4909">
      <w:bodyDiv w:val="1"/>
      <w:marLeft w:val="0"/>
      <w:marRight w:val="0"/>
      <w:marTop w:val="0"/>
      <w:marBottom w:val="0"/>
      <w:divBdr>
        <w:top w:val="none" w:sz="0" w:space="0" w:color="auto"/>
        <w:left w:val="none" w:sz="0" w:space="0" w:color="auto"/>
        <w:bottom w:val="none" w:sz="0" w:space="0" w:color="auto"/>
        <w:right w:val="none" w:sz="0" w:space="0" w:color="auto"/>
      </w:divBdr>
    </w:div>
    <w:div w:id="18806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ate2023.eu/call/sts/list/the-assistive-potential-of-digital-consumer-technolog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gsma.com/mobilefordevelopment/resources/opportunities-for-digital-assistive-technology-innovations-in-africa-and-as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content/uploads/2021/05/2021-EDF-position-on-Assistive-Technologies-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ho.int/publications/i/item/97892400494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i.inf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i/item/9789240049451" TargetMode="External"/><Relationship Id="rId1" Type="http://schemas.openxmlformats.org/officeDocument/2006/relationships/hyperlink" Target="https://www.who.int/publications/i/item/9789240063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26FC-A9AD-4448-B853-A6B01793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banes</dc:creator>
  <cp:keywords/>
  <dc:description/>
  <cp:lastModifiedBy>Sabine Lobnig</cp:lastModifiedBy>
  <cp:revision>11</cp:revision>
  <dcterms:created xsi:type="dcterms:W3CDTF">2023-05-30T08:44:00Z</dcterms:created>
  <dcterms:modified xsi:type="dcterms:W3CDTF">2023-05-30T14:28:00Z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da0d9f1a-e9b5-4128-923a-13ebb6ffac5e</vt:lpwstr>
  </property>
</Properties>
</file>